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LEI 7.713 DE 22-12-1988</w:t>
      </w:r>
    </w:p>
    <w:p/>
    <w:p/>
    <w:p>
      <w:r>
        <w:t xml:space="preserve">01. PESSOA FÍSICA — LEGISLAÇÃO - ALTERA</w:t>
      </w:r>
    </w:p>
    <w:p/>
    <w:p>
      <w:pPr>
        <w:pStyle w:val="Heading2"/>
      </w:pPr>
      <w:r>
        <w:rPr>
          <w:b/>
          <w:bCs/>
        </w:rPr>
        <w:t xml:space="preserve">Ementa</w:t>
      </w:r>
    </w:p>
    <w:p>
      <w:r>
        <w:t xml:space="preserve">LEI Nº 7.713, DE 22 DE DEZEMBRO DE 1988 Altera a legislação do imposto de renda e dá outras providências. O PRESIDENTE DA REPÚBLICA, faço saber que o Congresso Nacional decreta e eu sanciono a seguinte Lei: Art. 1º Os rendimentos e ganhos de capital percebidos a partir de 1º de janeiro de 1989, por pessoas físicas residentes ou domiciliados no Brasil, serão tributados pelo imposto de renda na forma da legislação vigente, com as modificações introduzidas por esta Lei. Art. 2º O imposto de renda das pessoas físicas será devido, mensalmente, à medida em que os rendimentos e ganhos de capital forem percebidos. Art. 3º O imposto incidirá sobre o rendimento bruto, sem qualquer dedução, ressalvado o disposto nos arts. 9º a 14 desta Lei. (Vide Lei 8.023/90) § 1º Constituem rendimento bruto todo o produto do capital, do trabalho ou da combinação de ambos, os alimentos e pensões percebidos em dinheiro, e ainda os proventos de qualquer natureza, assim também entendidos os acréscimos patrimoniais não correspondentes aos rendimentos declarados. § 2º Integrará o rendimento bruto, como ganho de capital, o resultado da soma dos ganhos auferidos no mês, decorrentes de alienação de bens ou direitos de qualquer natureza, considerando-se como ganho a diferença positiva entre o valor de transmissão do bem ou direito e o respectivo custo de aquisição corrigido monetariamente, observado o disposto nos arts. 15 a 22 desta Lei. § 3º Na apuração do ganho de capital serão consideradas as operações que importem alienação, a qualquer título, de bens ou direitos ou cessão ou promessa de cessão de direitos à sua aquisição, tais como as realizadas por compra e venda, permuta, adjudicação, desapropriação, dação em pagamento, doação, procuração em causa própria, promessa de compra e venda, cessão de direitos ou promessa de cessão de direitos e contratos afins. § 4º A tributação indepe nde da denominação dos rendimentos, títulos ou direitos, da localização, condição jurídica ou nacionalidade da fonte, da origem dos bens produtores da renda, e da forma de percepção das rendas ou proventos, bastando, para a incidência do imposto, o benefício do contribuinte por qualquer forma e a qualquer título. § 5º Ficam revogados todos os dispositivos legais concessivos de isenção ou exclusão, da base de cálculo do imposto de renda das pessoas físicas, de rendimentos e proventos de qualquer natureza, bem como os que autorizam redução do imposto por investimento de interesse econômico ou social. § 6º Ficam revogados todos os dispositivos legais que autorizam deduções cedulares ou abatimentos da renda bruta do contribuinte, para efeito de incidência do imposto de renda. Art. 4º Fica suprimida a classificação por cédulas dos rendimentos e ganhos de capital percebidos pelas pessoas físicas. Art. 5º Salvo disposição em contrário, o imposto retido na fonte sobre rendimentos e ganhos de capital percebidos por pessoas físicas será considerado redução do apurado na forma dos arts. 23 e 24 desta Lei. Art. 6º Ficam isentos do imposto de renda os seguinte rendimentos percebidos por pessoas físicas: I - a alimentação, o transporte e os uniformes ou vestimentas especiais de trabalho, fornecidos gratuitamente pelo empregador a seus empregados, ou a diferença entre o preço cobrado e o valor de mercado; II - as diárias destinadas, exclusivamente, ao pagamento de despesas de alimentação e pousada, por serviço eventual realizado em município diferente do da sede de trabalho; III - o valor locativo do prédio construído, quando ocupado por seu proprietário ou cedido gratuitamente para uso do cônjuge ou de parentes de primeiro grau; IV - as indenizações por acidentes de trabalho; V - a indenização e o aviso prévio pagos por despedida ou rescisão de contrato de trabalho, até o limite garantido por lei, bem como o montante recebido pelos empregados e diretores, ou respectivos beneficiários, referente aos depósitos, juros e correção monetária creditados em contas vinculadas, nos termos da legislação do Fundo de Garantia do Tempo de Serviço; VI - o montante dos depósitos, juros, correção monetária e quotas-partes creditados em contas individuais pelo Programa de Integração Social e pelo Programa de Formação do Patrimônio do Servidor Público; VII - os seguros recebidos de entidades de previdência privada decorrentes de morte ou invalidez permanente do participante. (Redação dada pela Lei nº 9.250/95) VIII - as contribuições pagas pelos empregadores relativas a programas de previdência privada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2026-10-26T05:00:52.974Z</dcterms:created>
  <dcterms:modified xsi:type="dcterms:W3CDTF">2026-10-26T05:00:52.975Z</dcterms:modified>
</cp:coreProperties>
</file>

<file path=docProps/custom.xml><?xml version="1.0" encoding="utf-8"?>
<Properties xmlns="http://schemas.openxmlformats.org/officeDocument/2006/custom-properties" xmlns:vt="http://schemas.openxmlformats.org/officeDocument/2006/docPropsVTypes"/>
</file>