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DESCONTO NA FONTE</w:t>
      </w:r>
    </w:p>
    <w:p/>
    <w:p/>
    <w:p>
      <w:r>
        <w:t xml:space="preserve">02. PESSOA FÍSICA — LEGISLAÇÃO - ALTERA</w:t>
      </w:r>
    </w:p>
    <w:p/>
    <w:p>
      <w:pPr>
        <w:pStyle w:val="Heading2"/>
      </w:pPr>
      <w:r>
        <w:rPr>
          <w:b/>
          <w:bCs/>
        </w:rPr>
        <w:t xml:space="preserve">Ementa</w:t>
      </w:r>
    </w:p>
    <w:p>
      <w:r>
        <w:t xml:space="preserve">Art. 32. Ficam sujeitos à incidência do imposto de renda na fonte, à alíquota de vinte e cinco por cento: I - os benefícios líquidos resultantes da amortização antecipada, mediante sorteio, dos títulos de economia denominados capitalização; II - os benefícios atribuídos aos portadores de títulos de capitalização nos lucros da empresa emitente. § 1º A alíquota prevista neste artigo será de quinze por cento em relação aos prêmios pagos aos proprietários e criadores de cavalos de corrida. § 2º O imposto de que trata este artigo será considerado: a) antecipação do devido na declaração de rendimentos, quando o beneficiário for pessoa jurídica tributada com base no lucro real; b) devido exclusivamente na fonte, nos demais casos, inclusive quando o beneficiário for pessoa jurídica isenta. § 3º (Vetado). Art. 33. Ressalvado o disposto em normas especiais, no caso de ganho de capital auferido por residente ou domiciliado no exterior, o imposto será devido, à alíquota de vinte e cinco por cento, no momento da alienação do bem ou direito. Parágrafo único. O imposto deverá ser pago no prazo de quinze dias contados da realização da operação ou por ocasião da remessa, sempre que esta ocorrer antes desse prazo. Art. 34. Na inexistência de outros bens sujeitos a inventário ou arrolamento, os valores relativos ao imposto de renda e outros tributos administrados pela Secretaria da Receita Federal, bem como o resgate de quotas dos fundos fiscais criados pelos Decretos-Leis nºs 157, de 10 de fevereiro de 1967, e 880, de 18 de setembro de 1969, não recebidos em vida pelos respectivos titulares, poderão ser restituídos ao cônjuge, filho e demais dependentes do contribuinte falecido, inexigível a apresentação de alvará judicial. Parágrafo único. Existindo outros bens sujeitos a inventário ou arrolamento, a restituição ao meeiro, herdeiros ou sucessores, far-se-á na forma e condições do alvará expedido pela autoridade judicial para essa finalidade. Art. 35. O sócio quotista, o acionista ou titular da empresa individual ficará sujeito ao imposto de renda na fonte, à alíquota de oito por cento, calculado com base no lucro líquido apurado pelas pessoas jurídicas na data do encerramento do período-base. (Vide RSF nº 82/96) § 1º Para efeito da incidência de que trata este artigo, o lucro líquido do período-base apurado com observância da legislação comercial, será ajustado pela: a) adição do valor das provisões não dedutíveis na determinação do lucro real, exceto a provisão para o imposto de renda; b) adição do valor da reserva de reavaliação, baixado no curso do período-base, que não tenha sido computado no lucro líquido; c) exclusão do valor, corrigido monetariamente, das provisões adicionadas, na forma da alínea a, que tenham sido baixadas no curso do período-base, utilizando-se a variação do BTN Fiscal. (Redação dada pela Lei nº 7.799/89) d) compensação de prejuízos contábeis apurados em balanço de encerramento de período-base anterior, desde que tenham sido compensados contabilmente, ressalvado do disposto no § 2º deste artigo. e) exclusão do resultado positivo de avaliação de investimentos pelo valor de patrimônio líquido; (Incluída pela Lei nº 7.959/89) f) exclusão dos lucros e dividendos derivados de investimentos avaliados pelo custo de aquisição, que tenham sido computados como receita; (Incluída pela Lei nº 7.959/89) g) adição do resultado negativo da avaliação de investimentos pelo valor de patrimônio líquido. (Incluída pela Lei nº 7.959/89) § 2º Não poderão ser compensados os prejuízos: a) que absorverem lucros ou reservas que não tenham sido tributados na forma deste artigo; b) absorvidos na redução de capital que tenha sido aumentado com os benefícios do art. 63 do Decreto-Lei nº 1.598, de 26 de dezembro de 1977. § 3º O disposto nas alíneas a e c do § 1º não se aplica em relação às provisões admitidas pela Comissão de Valores Mobiliários, Banco Central do Brasil e Superintendência de Seguros Privados, quando contribuídas por pessoas jurídicas submetidas à orientação normativa dessas entidades. § 4º O imposto de que trata este artigo: a) será considerado devido exclusivamente na fonte, quando o beneficiário do lucro for pessoa física; b) (Revogada pela Lei nº 7.759/89) c) poderá ser compensado com o imposto incidente na fonte sobre a parcela dos lucros apurados pelas pessoas jurídicas, que corresponder à participação de beneficiário, pessoa física ou jurídica, residente ou domiciliado no exterior. § 5º É dispensada a retenção na fo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2026-07-28T04:27:40.385Z</dcterms:created>
  <dcterms:modified xsi:type="dcterms:W3CDTF">2026-07-28T04:27:40.385Z</dcterms:modified>
</cp:coreProperties>
</file>

<file path=docProps/custom.xml><?xml version="1.0" encoding="utf-8"?>
<Properties xmlns="http://schemas.openxmlformats.org/officeDocument/2006/custom-properties" xmlns:vt="http://schemas.openxmlformats.org/officeDocument/2006/docPropsVTypes"/>
</file>