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/>
    <w:p>
      <w:r>
        <w:t xml:space="preserve">LIMITAÇÃO IMPOSTA AOS TERRENOS MARGINAIS DE ESTRADA — QUANDO NÃO OCORRE DESAPROPRIAÇÃO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dá desapropriação dessa faixa, mas apenas, o seu não aproveitamento, para fins de construção. Se a faixa "non aedificandi" está em zona já classificada, pela legislação municipal, como urbana, cumpre verificar se a estrada de rodagem preexistia, ou não, a essa inclusão da área em região urbana. Se a estrada estadual penetra, em sua construção, zona urbana preexistente, a limitação administrativa não prevalece sem compensação ao proprietário. V. o t. ATO ADMINISTRATIVO st. ÁREA NON AEDIFICANDI EMFOR 456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2026-10-26T07:03:41.841Z</dcterms:created>
  <dcterms:modified xsi:type="dcterms:W3CDTF">2026-10-26T07:03:41.841Z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