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DECLARATÓRIA C/C REPET DE INDÉBITO</w:t>
      </w:r>
    </w:p>
    <w:p/>
    <w:p/>
    <w:p>
      <w:r>
        <w:t xml:space="preserve">LIMITAÇÃO IMPOSTA AOS TERRENOS MARGINAIS DE ESTRADA — QUANDO NÃO OCORRE DESAPROPRIAÇÃO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dá desapropriação dessa faixa, mas apenas, o seu não aproveitamento, para fins de construção. Se a faixa "non aedificandi" está em zona já classificada, pela legislação municipal, como urbana, cumpre verificar se a estrada de rodagem preexistia, ou não, a essa inclusão da área em região urbana. Se a estrada estadual penetra, em sua construção, zona urbana preexistente, a limitação administrativa não prevalece sem compensação ao proprietário. V. o t. ATO ADMINISTRATIVO st. ÁREA NON AEDIFICANDI EMFOR 456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2026-07-28T00:07:31.048Z</dcterms:created>
  <dcterms:modified xsi:type="dcterms:W3CDTF">2026-07-28T00:07:31.048Z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