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CANDIDATURA À PLEITO MUNICIPAL</w:t>
      </w:r>
    </w:p>
    <w:p/>
    <w:p/>
    <w:p>
      <w:r>
        <w:t xml:space="preserve">CÔNSUL HONORÁRIO DE PAÍS ESTRANGEIRO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CÔNSUL HONORÁRIO DE PAÍS ESTRANGEIRO Generalidades "Inelegibilidade. Normas. Natureza. (...) Cônsul honorário de país estrangeiro. Desincompatibilidade para candidatar-se a cargo eletivo. Desnecessidade. A ordem jurídica em vigor não impõe a desincompatibilização de cônsul honorário de país estrangeiro para candidatar-se a cargo eletivo." (Res. nº 22.228, de 6.6.2006, rel. Min. Carlos Ayres Britto.)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2026-07-28T03:12:01.766Z</dcterms:created>
  <dcterms:modified xsi:type="dcterms:W3CDTF">2026-07-28T03:12:01.766Z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