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FUNCIONÁRIO PÚBLICO</w:t>
      </w:r>
    </w:p>
    <w:p>
      <w:r>
        <w:rPr>
          <w:i/>
          <w:iCs/>
          <w:color w:val="666666"/>
        </w:rPr>
        <w:t xml:space="preserve">CANDIDATURA À PLEITO MUNICIPAL</w:t>
      </w:r>
    </w:p>
    <w:p/>
    <w:p/>
    <w:p>
      <w:r>
        <w:t xml:space="preserve">GABINETE CIVIL, CHEFE
      Generalidades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GABINETE CIVIL, CHEFE Generalidades "Recurso ordinário. Pedido de registro de candidatura. Vice-governador. Deferimento. LC nº 64/90. Chefia de gabinete civil de governadoria do estado. Art. 1º, III, b, 1. Assessoria extraordinária para assuntos técnicos e administrativos do governo. Art. 1º, II, l. Prazos. Cumprimento. Recurso desprovido. Na espécie, ocupando sucessivamente os cargos de chefe do gabinete civil da governadoria estadual e de assessora extraordinária, exonerando-se de cada qual no prazo previsto na LC nº 64/90, não há falar-se em inelegibilidade da recorrente para concorrer ao cargo de vicegovernadora no pleito vindouro. Recurso a que se nega provimento." NE: Afastou-se no prazo de seis meses da chefia do gabinete civil; nomeada no dia seguinte para o cargo em comissão de assessora extraordinária, afastouse deste no prazo de três meses. (Ac. nº 19.987, de 10.9.2002, rel. Min. Barros Monteiro.)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2026-10-26T05:43:41.246Z</dcterms:created>
  <dcterms:modified xsi:type="dcterms:W3CDTF">2026-10-26T05:43:41.246Z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