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02. PROCESSO ADMINISTRATIVO FISCAL</w:t>
      </w:r>
    </w:p>
    <w:p/>
    <w:p>
      <w:pPr>
        <w:pStyle w:val="Heading2"/>
      </w:pPr>
      <w:r>
        <w:rPr>
          <w:b/>
          <w:bCs/>
        </w:rPr>
        <w:t xml:space="preserve">Ementa</w:t>
      </w:r>
    </w:p>
    <w:p>
      <w:r>
        <w:t xml:space="preserve">SEÇÃO VI Do Julgamento em Primeira Instância Art. 27. Os processos remetidos para apreciação da autoridade julgadora de primeira instância deverão ser qualificados e identificados, tendo prioridade no julgamento aqueles em que estiverem presentes as circunstâncias de crime contra a ordem tributária ou de elevado valor, este definido em ato do Ministro de Estado da Fazenda. (Redação dada pela Lei nº 9.532, de 1997) Parágrafo único. Os processos serão julgados na ordem e nos prazos estabelecidos em ato do Secretário da Receita Federal, observada a prioridade de que trata o caput deste artigo. (Incluído pela Lei nº 9.532, de 1997) Art. 28. Na decisão em que for julgada questão preliminar será também julgado o mérito, salvo quando incompatíveis, e dela constará o indeferimento fundamentado do pedido de diligência ou perícia, se for o caso. (Redação dada pela Lei nº 8.748, de 1993) Art. 29. Na apreciação da prova, a autoridade julgadora formará livremente sua convicção, podendo determinar as diligências que entender necessárias. Art. 30. Os laudos ou pareceres do Laboratório Nacional de Análises, do Instituto Nacional de Tecnologia e de outros órgãos federais congêneres serão adotados nos aspectos técnicos de sua competência, salvo se comprovada a improcedência desses laudos ou pareceres. § 1º Não se considera como aspecto técnico a classificação fiscal de produtos. § 2º A existência no processo de laudos ou pareceres técnicos não impede a autoridade julgadora de solicitar outros a qualquer dos órgãos referidos neste artigo. § 3º Atribuir-se-á eficácia aos laudos e pareceres técnicos sobre produtos, exarados em outros processos administrativos fiscais e transladados mediante certidão de inteiro teor ou cópia fiel, nos seguintes casos: (Incluído pela Lei nº 9.532, de 1997) a) quando tratarem de produtos originários do mesmo fabricante, com igual denominação, marca e especificação; (Incluído pela Lei nº 9.532, de 1997) b) quando tratarem de máquinas, aparelhos, equipamentos, veículos e outros produtos complexos de fabricação em série, do mesmo fabricante, com iguais especificações, marca e modelo. (Incluído pela Lei nº 9.532, de 1997) Art. 31. A decisão conterá relatório resumido do processo, fundamentos legais, conclusão e ordem de intimação, devendo referir-se, expressamente, a todos os autos de infração e notificações de lançamento objeto do processo, bem como às razões de defesa suscitadas pelo impugnante contra todas as exigências. (Redação dada pela Lei nº 8.748, de 1993) Art. 32. As inexatidões materiais devidas a lapso manifesto e os erros de escrita ou de cálculos existentes na decisão poderão ser corrigidos de ofício ou a requerimento do sujeito passivo. Art. 33. Da decisão caberá recurso voluntário, total ou parcial, com efeito suspensivo, dentro dos trinta dias seguintes à ciência da decisão. § 1º No caso de provimento a recurso de ofício, o prazo para interposição de recurso voluntário começará a fluir da ciência, pelo sujeito passivo, da decisão proferida no julgamento do recurso de ofício. (Incluído pela Lei nº 10.522, de 2002) § 2º (Incluído pela Lei nº 10.522, de 2002) (Vide Adin nº 1.976-7) § 3º O arrolamento de que trata o § 2º será realizado preferencialmente sobre bens imóveis. (Incluído pela Lei nº 10.522, de 2002) § 4º O Poder Executivo editará as normas regulamentares necessárias à operacionalização do arrolamento previsto no § 2º. (Incluído pela Lei nº 10.522, de 2002) Art. 34. A autoridade de primeira instância recorrerá de ofício sempre que a decisão: I - exonerar o sujeito passivo do pagamento de tributo e encargos de multa de valor total (lançamento principal e decorrentes) a ser fixado em ato do Ministro de Estado da Fazenda. (Redação dada pela Lei nº 9.532, de 1997) II - deixar de aplicar pena de perda de mercadorias ou outros bens cominada à infração denunciada na formalização da exigência. § 1º O recurso será interposto mediante declaração na própria decisão. § 2º Não sendo interposto o recurso, o servidor que verificar o fato representará à autoridade julgadora, por intermédio de seu chefe imediato, no sentido de que seja observada aquela formalidade. Art. 35. O recurso, mesmo perempto, será encaminhado ao órgão de segunda instância, que julgará a perempção. Art. 36. Da decisão de primeira instância não cabe pedido de reconsideração. SEÇÃO VII Do Julgamento em Segunda Instância Art. 37. O julgamento no Conselho Administrativo de Recursos Fiscais far-se-á conforme dispuser o regimento intern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2026-07-28T00:36:52.754Z</dcterms:created>
  <dcterms:modified xsi:type="dcterms:W3CDTF">2026-07-28T00:36:52.754Z</dcterms:modified>
</cp:coreProperties>
</file>

<file path=docProps/custom.xml><?xml version="1.0" encoding="utf-8"?>
<Properties xmlns="http://schemas.openxmlformats.org/officeDocument/2006/custom-properties" xmlns:vt="http://schemas.openxmlformats.org/officeDocument/2006/docPropsVTypes"/>
</file>