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r>
        <w:rPr>
          <w:b/>
          <w:bCs/>
        </w:rPr>
        <w:t xml:space="preserve">Recurso: </w:t>
      </w:r>
      <w:r>
        <w:t xml:space="preserve">RE 77.375</w:t>
      </w:r>
    </w:p>
    <w:p/>
    <w:p>
      <w:r>
        <w:t xml:space="preserve">REPETIÇÃO PARA ATUALIZAR O CÁLCULO — CABIMENTO</w:t>
      </w:r>
    </w:p>
    <w:p/>
    <w:p>
      <w:pPr>
        <w:pStyle w:val="Heading2"/>
      </w:pPr>
      <w:r>
        <w:rPr>
          <w:b/>
          <w:bCs/>
        </w:rPr>
        <w:t xml:space="preserve">Ementa</w:t>
      </w:r>
    </w:p>
    <w:p>
      <w:r>
        <w:t xml:space="preserve">Em desapropriação, é devida a correção monetária até a data do efetivo pagamento da indenização, devendo proceder-se à atualização do cálculo, ainda que por mais de uma vez. Referência: - Lei nº 4.686, de 21.06.65 (D.O. de 23.06.65). RE 77.375, de 15.05.74 (D.J. de 21.05.76) RE 78.502, de 31.05.74 (D.J. de 17.06.74) RE 78.757, de 31.05.74 (D.J. de 17.06.74) RE 79.585, de 01.10.74 (D.J. de 06.12.74) RE 79.756, de 15.10.74 (D.J. de 18.02.75, R.T.J. 73/637) RE 80.030, de 12.11.74 (D.J. de 13.12.74) RE 79.729, de 22.11.74 (D.J. de 08.01.75) RE 80.044, de 29.11.74 (D.J. de 21.03.75) Sessão de 15-12-1976 D.J., 1977 - Janeiro - n.1 - pág.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2026-07-28T02:32:43.397Z</dcterms:created>
  <dcterms:modified xsi:type="dcterms:W3CDTF">2026-07-28T02:32:43.397Z</dcterms:modified>
</cp:coreProperties>
</file>

<file path=docProps/custom.xml><?xml version="1.0" encoding="utf-8"?>
<Properties xmlns="http://schemas.openxmlformats.org/officeDocument/2006/custom-properties" xmlns:vt="http://schemas.openxmlformats.org/officeDocument/2006/docPropsVTypes"/>
</file>