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CONTRIBUIÇÃO DE PREVIDÊNCIA</w:t>
      </w:r>
    </w:p>
    <w:p/>
    <w:p>
      <w:r>
        <w:rPr>
          <w:b/>
          <w:bCs/>
        </w:rPr>
        <w:t xml:space="preserve">Recurso: </w:t>
      </w:r>
      <w:r>
        <w:t xml:space="preserve">REsp 462.996/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ELIANA CALMON</w:t>
      </w:r>
    </w:p>
    <w:p>
      <w:r>
        <w:rPr>
          <w:b/>
          <w:bCs/>
        </w:rPr>
        <w:t xml:space="preserve">Julgado em: </w:t>
      </w:r>
      <w:r>
        <w:t xml:space="preserve">01/03/2004</w:t>
      </w:r>
    </w:p>
    <w:p/>
    <w:p>
      <w:r>
        <w:t xml:space="preserve">SALDO REMANESCENTE DE ARREMATAÇÃO — POSSIBILIDADE EM EXECUÇÃO - REQUISITOS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; - Possível a imputação de pagamento prevista no art. 163 do CTN nas execuções fiscais, desde que observados os requisitos ali expressos, ouvido previamente o executado, que deverá anuir ao provimento. RESUMO DO ACORDO: - A tese que consubstancia o recurso pode ser expressa nas seguintes indagações: é possível imputar o pagamento de créditos decorrentes de adjudicação ou alienação judicial a débitos cobrados em outras execuções movidas contra o mesmo devedor? E ainda, sem a anuência do devedor? - Na doutrina, quanto à primeira indagação, ZUUDI SAKAKIHARA defende que sim: "Estabelecem-se aqui as regras para o direcionamento do pagamento feito pelo sujeito passivo que possui diversos débitos. Tais regras são de caráter obrigatório, de modo que o sujeito passivo, nessas condições, não tem a liberdade de escolher os créditos tributários que queira pagar, devendo direcioná-los de acordo com as regras de imputação estabelecidas no artigo, e na ordem em que estão enumeradas. Essas regras de imputação devem ser observadas também por ocasião do pagamento que se faz, judicialmente, em processo de execução forçada, com o preço arrecadado na arrematação. (in Código Tributário Comentado: doutrina e jurisprudência, artigo por artigo, inclusive ICMS (LC 87/1996 e LC 114/2002 e ISS (LC 116/2003)." Vladimir Passos de Freitas (coord.). 4ª. ed. São Paulo: Editora Revista dos Tribunais, 2007, p. 711). - No mesmo sentido anui no julgamento do REsp 462.996/SP: "TRIBUTÁRIO - IMPUTAÇÃO DE PAGAMENTO (ART. 163 DO CTN). 1. A imputação de pagamento consagra o princípio da autonomia das dívidas tributárias, ao estabelecer uma escala de preferência. 2. Para estabelecer a preferência, cabe ao credor comprovar a existência de débitos preferenciais capazes de desfazer a indicação do devedor. 3. Imputação da FAZENDA, que não conseguiu afastar as indicações do executado, por ausência de prova quanto aos débitos ant eriores aos indicados e pagos. 4. Recurso especial improvido. (REsp 462.996/SP, Rel. Ministra ELIANA CALMON, SEGUNDA TURMA, julgado em 02.03.2004, DJ 17.05.2004 p. 177) - Contudo, no que pertine à segunda indagação, entendo que a resposta deve ser negativa. LEANDRO PAULSEN traz a lume o entendimento de RENATO LOPES BECHO, com o qual comungo: "O art. 163... deve ser interpretado à luz de todo o ordenamento jurídico, e em harmonia com o artigo 352 do Código Civil, extraindo-se, daí, a ordem para a imputação do pagamento nas relações jurídico-tributárias, a saber: momento 1 - o devedor tributário tem o direito de imputar o pagamento que está sendo entregue ao fisco (art. 352, CC); momento 2 - não realizada a imputação do pagamento pelo devedor tributário, ao Fisco compete este direito, fazendo-o: i - em primeiro lugar, o pagamento dos débitos por obrigação própria e, em segundo lugar aos decorrentes de responsabilidade tributária; ii - levando em conta primeiramente as contribuições de melhoria, depois às taxas e por fim aos impostos; iii - seguindo a ordem crescente dos prazos de prescrição; e iv - na ordem decrescente dos montantes (art. 163, CTN). Dessa forma, da intersecção entre o Código Civil e o Código Tributário Nacional nasce, por uma interpretação sistemática, o regime jurídico aplicável à imputação em matéria tributária. (...) O art. 163..., ao regular o instituto da imputação do pagamento em matéria de Direito Tributário, o fez tão-somente em relação à Administração, retirando-lhe qualquer discricionariedade, como a contida no artigo 353 do Código Civil... temos que o direito de imputar o pagamento aos débitos tributários é conferido em um primeiro momento ao contribuinte, nos moldes do artigo 352 do Código Civil. Este direito, uma vez exercido pelo devedor tributário, e extingue qualquer outro da Administração Fazendária em realizar a mesma operação. Em não se realizando, por qualquer motivo alheio à vontade do sujeito passivo a hipótese contida no artigo 352 do Código Civil, nasce para a Fazenda Pública o dever-poder e imputar o pagamento seguindo a ordem expressamente contida no artigo 163 do Código Tributário Nacional" (BECHO, Renato Lopes; NAVARRO, Fernando Luís. Imputação do pagamento em Direito Tributário apud Direito Tributário. Constituição e Código Tributário à luz da Doutrina e da Jurisprudência. 8ª. ed. Porto Alegre: Livraria do Advogado, 2006, p. 1171). - Com efeito, a imputação de pagamento não pode se operar sem a anuência do devedor, muito embora o CTN não seja claro quanto a isso. O enunciado deixa implícito que o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2026-07-28T00:05:27.088Z</dcterms:created>
  <dcterms:modified xsi:type="dcterms:W3CDTF">2026-07-28T00:05:27.088Z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