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Tenho</w:t>
      </w:r>
    </w:p>
    <w:p/>
    <w:p>
      <w:r>
        <w:t xml:space="preserve">CESSÃO DE DIREITOS HEREDITÁRIOS E CARTA DE ADJUDICAÇÃO — CASO EM QUE NÃO SE RECONHECE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ouvi com muita atenção o relatório e o judicioso voto, como de hábito, do eminente Ministro Barros Monteiro; como também a sustentação que nos foi apresentada pelo douta advogada. - Com todo o respeito, ousarei divergir do eminente Ministro-Relator. Tenho muito presente que esses fatos se deram há 30 anos, o que leva o meu espírito, num primeiro momento, a deixar consolidadas situações existentes, salvo se se perceber, a olhos desarmados, a existência de uma fraude perpetrada deliberadamente pelas partes envolvidas, em prejudicar alguém. Somente em situações como essa é que teria inclinação para alterar uma realidade existente há tanto tempo. - E, data venia, não vejo, na espécie, nenhuma configuração que possa se aproximar daquela que inicialmente mencionei e que pudesse me levar a alterar a realidade hoje consagrada. - Ao contrário: não teria muita facilidade em aceitar o desfazimento do que hoje se encontra perfeito e acabado ainda que houvesse comprovação de que o preço pago, pelo acervo hereditário, tivesse sido vil - que não está configurado, diga-se de passagem, porque o que se alega apenas é que o preço não teria sido muito vantajoso. - Na hipótese, ainda há a alegação, por parte de um dos réus (do comprador), que de certa maneira conforta o espírito, de que havia muitas pendências judiciais a serem acertadas, quando da aquisição, o que teria afetado o preço, como consta do relatório. - Impressionou-me muito o voto vencedor dos embargos infringentes, trazido no relatório, e cujos trechos agora reproduzo: "Vencida a nota promissória, a mãe do autor, ora embargante, veio novamente a juízo, dessa vez postulando que fosse concedida autorização para receber uma casa em dação de pagamen to após a necessária avaliação. Com a anuência do Ministério Público, a autorização judicial foi concedida mediante a expedição de novo alvará. Todavia, ao invés de se outorgar a escritura de dação do imóvel ao embargante, então menor, nela figurou como adquirente a mãe deste, T.J.B.S.. De posse da cessão de direitos hereditários, o cessionário J.X.F.S. habilitou-se ao inventário de A.G.F., sendo contemplado com a adjudicação de bens, que se pretende anular. Segundo a inteligência do douto voto-vencedor da lavra do eminente Desembargador Homero Sabino de Freitas, 'todos os atos que procederam à adjudicação se revestem de absoluta regularidade'. A cessão de direitos foi precedida da indispensável autorização judicial, obtida por meio de processo próprio, no qual houve avaliação dos bens, acompanhamento do representante do Ministério Público e a sentença do juiz concessiva da licença pleiteada. O preço foi regularmente pago por meio da entrega da nota promissória devidamente formalizada. Igualmente, a dação em pagamento baseou-se em autorização judicial concedida em processo em que não houve qualquer vício formal ou substancial e contou com a anuência do Ministério Público. A única irregularidade se verificou na ultimação da transação, ocasião em que a mãe do menor embargante, ao invés de receber a casa em nome do filho, recebeu-a em seu próprio nome, praticando ato de autêntica usurpação. Ao ver do eminente relator da decisão embargada, a procedência da ação constituiria um preito de exaltação ao enriquecimento ilícito e a valorização de uma conduta indigna, referindo-se, naturalmente, à genitora do embargante." - Mais à frente, prossegue o douto voto-vencedor: "Parece-me suficientemente claro que a cessão de direito hereditário, outorgada por escritura pública ao embargado J.X.F.S., pela mãe do embargante, que o representava à época, e a adjudicação feita ao cessionário ao inventário de A.G.F., que se pretende desconstituir através desta ação, não ostentam qualquer vício que as tornem passíveis de anulação. Para sua realização, houve a necessária autorização judicial, concedida com o beneplácito do Ministério Público, cujo representante, inclusive, compareceu à escritura de cessão de direitos, recebeu a nota promissória representativa do preço da alienação e a levou a cartório, onde deveria ser guardada até a data do resgate. O ato traslativo dos direitos do embargante obedeceu a todas as recomendações constantes do alvará de autorização judicial. Não ocorreu, na espécie, a meu sentir, nenhuma das situações previstas no art. 145 do Código Civil, que inclinam de nulidade o ato jurídico ou das indicadas no art. 147 do mesmo estatuto, que tornam o ato anulável. Ademais, não faltou ao ato qualquer dos elementos estruturais de com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reconhece, diante das peculiaridades do caso concreto, ofensa aos arts. 75, 145, II e III, 159, 178, parágrafo 6º, III, 934 e 1.122 do Código Civil de 1916.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2026-10-26T03:23:14.319Z</dcterms:created>
  <dcterms:modified xsi:type="dcterms:W3CDTF">2026-10-26T03:23:14.319Z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