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/>
    <w:p>
      <w:r>
        <w:t xml:space="preserve">CUMULAÇÃO COM MULTA RESILITÓRIA — 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..., inexiste ilegalidade na cobrança da multa resilitória cumulada com a moratória, diante da sua natureza distinta. A primeira tem por finalidade penalizar a inexecução do contrato, ao passo que a moratória tem cabimento nas hipóteses de inadimplemento das obrigações pactuadas, dentre elas, o não pagamento da multa estipulada. - No caso presente, o locatário encontra-se em mora, pois não efetuou o pagamento da multa resilitória, razão pela qual a multa moratória é também devida. - Diante disso, correta a sentença de improcedência. - Por tais razões, nega-se provimento ao recurso. Ac. de 14-05-2008 Arquivo do EMFOR, TJRJ/N 7354 EMENTÁRIO FORENSE. Abril, 2009. Ano LXI. Nº 725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Possibilidade de cumulação da multa resilitória com a multa moratória, diante da sua natureza distinta. - A primeira tem por finalidade penalizar a inexecução do contrato, ao passo que a moratória tem cabimento na hipótese de inadimplemento das obrigações pactuadas, dentre elas, o não pagamento da multa estipulada.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2026-09-11T06:24:47.454Z</dcterms:created>
  <dcterms:modified xsi:type="dcterms:W3CDTF">2026-09-11T06:24:47.454Z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