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POPULAR</w:t>
      </w:r>
    </w:p>
    <w:p>
      <w:r>
        <w:rPr>
          <w:i/>
          <w:iCs/>
          <w:color w:val="666666"/>
        </w:rPr>
        <w:t xml:space="preserve">PROPAGANDA DA ADMINISTRAÇÃO PÚBLICA</w:t>
      </w:r>
    </w:p>
    <w:p/>
    <w:p>
      <w:r>
        <w:rPr>
          <w:b/>
          <w:bCs/>
        </w:rPr>
        <w:t xml:space="preserve">Recurso: </w:t>
      </w:r>
      <w:r>
        <w:t xml:space="preserve">RE /</w:t>
      </w:r>
    </w:p>
    <w:p/>
    <w:p>
      <w:r>
        <w:t xml:space="preserve">43. PROPAGANDA REMANESCENTE DE ELEIÇÃO ANTERIOR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PROPAGANDA REMANESCENTE DE ELEIÇÃO ANTERIOR Generalidades "Eleições 1994. Representação. Propaganda irregular. Inscrições remanescentes de campanha política de 1990. Irretroatividade da Lei nº 8.713/93. 2. Tratando-se de inscrições do nome do recorrente em muros e postes, da campanha política de 1990, quando concorrem ao cargo de governador de estado, não é possível a aplicação da Lei nº 8.713/93, que dispôs sobre as eleições de 1994. 3. Hipótese em que o TRE/RR conferiu indevida aplicação ao art. 59 e seu § 2º, da Lei nº 8.713/93. 4. Recurso especial conhecido e provido para cassar o acórdão, julgando improcedente a representação." (Ac. nº 12.798, de 23.10.97, rel. Min. Néri da Silveira.)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2026-10-26T03:45:17.318Z</dcterms:created>
  <dcterms:modified xsi:type="dcterms:W3CDTF">2026-10-26T03:45:17.319Z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