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EXCLUSIVA DA VÍTIMA</w:t>
      </w:r>
    </w:p>
    <w:p/>
    <w:p/>
    <w:p>
      <w:r>
        <w:t xml:space="preserve">OFERTA CONTABILIZADA POR ESTABELECIMENTO BANCÁRIO — A QUEM PERTENCE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Na desapropriação, pertence ao expropriado a correção monetária da oferta contabilizada pelo estabelecimento bancário. Referência: - Incidente de Uniformização de Jurisprudência na AC 86.107 - RJ, Segunda Seção, em 3-12-85 - DJ 8-5-86. - Decreto-lei 3.365, de 21-6-41, art. 15. Segunda Seção, em 10-12-85 - DJ 17-12-75, p. 23.424. EMFOR 457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2026-07-28T00:23:47.269Z</dcterms:created>
  <dcterms:modified xsi:type="dcterms:W3CDTF">2026-07-28T00:23:47.269Z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