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EXCLUSIVA DA VÍTIMA</w:t>
      </w:r>
    </w:p>
    <w:p/>
    <w:p/>
    <w:p>
      <w:r>
        <w:t xml:space="preserve">REPETIÇÃO PARA ATUALIZAR O CÁLCULO — QUANDO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- 1. Como demonstrado no relatório, que se declara parte integrante deste acórdão,. Assim como versado nos pareceres dos ilustres representantes do Ministério Público, o primeiro adotado na sentença apelada, cuida-se de correção monetária do valor da indenização, em desapropriação apurada em cálculo de acertamento, depois de extraído mais de um precatório, não atendido pelo expropriante depois de um ano desde a data da respectiva expedição. - 2. A incidência de tal correção monetária, limitada apenas ao decurso de um ano desde a expedição do último precatório não atendido, está consagrada no item nº 561 da Súmula do S.T.F. e tem sido admitida reiterada e tranqüilamente nas várias Câmaras Cíveis deste E. Tribunal de Justiça. Ac. de 12-05-1987 Arquivo do EMFOR, TJ/1.597 (*) &lt;&lt;Em desapropriação, é devida a correção monetária, até a data do efetivo pagamento da indenização, devendo proceder-se à atualização do cálculo, ainda que por mais de uma vez&gt;&gt; (&lt;&lt;EMENTÁRIO FORENSE&gt;&gt;, Nº 340). N. da R.: V. decisões no MESMO SENTIDO, nos mesmos título e subtítulo. EMFOR 475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 incidir correção monetária, mediante cálculo de acertamento, se decorrido mais de um ano desde a expedição de mais um precatório não atendido pelo expropriante.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2026-10-26T04:17:19.273Z</dcterms:created>
  <dcterms:modified xsi:type="dcterms:W3CDTF">2026-10-26T04:17:19.273Z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