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PROCURADOR DO INVENTARIANTE</w:t>
      </w:r>
    </w:p>
    <w:p/>
    <w:p>
      <w:r>
        <w:rPr>
          <w:b/>
          <w:bCs/>
        </w:rPr>
        <w:t xml:space="preserve">Recurso: </w:t>
      </w:r>
      <w:r>
        <w:t xml:space="preserve">RECURSO ESPECIAL .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CASTRO FILHO</w:t>
      </w:r>
    </w:p>
    <w:p>
      <w:r>
        <w:rPr>
          <w:b/>
          <w:bCs/>
        </w:rPr>
        <w:t xml:space="preserve">Julgado em: </w:t>
      </w:r>
      <w:r>
        <w:t xml:space="preserve">01/06/2005</w:t>
      </w:r>
    </w:p>
    <w:p/>
    <w:p>
      <w:r>
        <w:t xml:space="preserve">RELAÇÃO CONCORRENTE COM O CASAMENTO — IMPEDIMENTO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Ocorre que a jurisprudência desta Corte prestigia o entendimento de que a existência de impedimento para o matrimônio, por parte de um dos componentes do casal, embaraça a constituição da união estável. Por conseguinte, não alcançam a concubina os efeitos jurídicos do referido instituto. Confiram-se: "DIREITO CIVIL. RECURSO ESPECIAL. SEGURO. CONSIGNAÇÃO EM PAGAMENTO. PRÊMIO. ARTIGOS 1.177 E 1.474 DO CÓDIGO CIVIL DE 1916. VEDAÇÃO. Há distinção doutrinária entre "companheira" e "concubina". Companheira é a mulher que vive, em união estável, com homem desimpedido para o casamento ou, pelo menos, separado judicialmente, ou de fato, há mais de dois anos, apresentando-se à sociedade como se com ele casada fosse. Concubina é a mulher que se une, clandestinamente ou não, a homem comprometido, legalmente impedido de se casar. Na condição de concubina, não pode a mulher ser designada como segurada pelo cônjuge adúltero, na inteligência dos artigos 1.177 e 1.474 do Cód. Civil de 1916. Precedentes. Recurso especial provido por unanimidade" (REsp 532.549/RS, Rel. Ministro CASTRO FILHO, TERCEIRA TURMA, julgado em 2/6/2005, DJ 20/6/2005 p. 269). "CIVIL - FAMÍLIA - RECONHECIMENTO DE UNIÃO ESTÁVEL ENTRE MULHER E HOMEM CASADO, MAS NÃO SEPARADO DE FATO - IMPOSSIBILIDADE - OFENSA AO ARTIGO 226, § 3º, DA MAGNA CARTA - MATÉRIA AFETA AO STF - ALEGAÇÃO DE VIOLAÇÃO ÀS LEIS 8.971/94 E 9.278/96 - SÚMULA 284/STF - INFRINGÊNCIA À DISPOSITIVOS DA LEI 10.406/02 - FATOS OCORRIDOS NA VIGÊNCIA DE LEGISLAÇÃO ANTERIOR - INCIDÊNCIA DESTA - DISSÍDIO JURISPRUDENCIAL - COMPROVAÇÃO. 1. Esta Corte de Uniformização não se presta à análise de matéria constitucional (art. 226, § 3º, da CF), cabendo-lhe, somente, a infraconstitucional. 2. A falta de indicação d o dispositivo de determinado diploma legal supostamente violado, impede o conhecimento da matéria, tendo em vista o óbice da Súmula 284/STF. 3. "In casu", os fatos relacionados ao presente recurso ocorreram na vigência do Código Civil de 1916, o que afasta a incidência, no caso, dos dispositivos da Lei 10.406/02 (Novo Código Civil). 4. A teor da jurisprudência desta Corte, a existência de impedimento para se casar por parte de um dos companheiros, como, por exemplo, na hipótese de a pessoa ser casada, mas não separada de fato ou judicialmente, obsta a constituição de união estável. 5. Recurso conhecido parcialmente e, nessa parte, provido para, cassando o acórdão proferido pelo Tribunal "a quo", afastar o reconhecimento da união estável, no caso (REsp 684.407/RS, Rel. Ministro JORGE SCARTEZZINI, QUARTA TURMA, julgado em 3/5/2005, DJ 27/6/2005 p. 411). - Transcreve-se elucidativo trecho do voto condutor do acórdão acima, em que se explica que o vínculo entre pessoas com impedimento para casar consolida concubinato adulterino, e não união estável, "verbis": "Ao meu sentir, não se mostra razoável o entendimento adotado pelo magistrado sentenciante e seguido pelo acórdão recorrido, no sentido de reconhecer a união estável entre a recorrida e o "de cujus", porquanto acaba por desnaturar o próprio conceito de união estável e, em última análise, por tornar viável o crime de bigamia (artigo 235 do Código Penal). Deveras, há de se ter como elementos essenciais para a caracterização da união estável, consoante se extrai do artigo 1.723 da Lei 10.406/02, que acabou por consolidar a orientação dominante sobre o tema, seguida, inclusive, pelo acórdão trazido como paradigma: a) diversidade de sexo; b) ausência de impedimento matrimonial entre os companheiros, não se aplicando, contudo, o art. 1.521, VI, do CC, no caso de a pessoa se achar separada de fato ou judicialmente; c) convivência more uxório pública, contínua e durado ura; d) constituição de família. Ausentes, portanto, qualquer desses requisitos, não há falar em união estável. "In casu", restou incontroverso a existência de uma união paralela ao matrimônio da ora recorrente com o extinto, sem que tenha havido o afastamento deste do lar conjugal, em outras palavras, um dos "companheiros" estava impedido de se casar, o que, a teor da jurisprudência desta Corte, obsta a constituição da união estável em questão. Realmente, não há como se admitir a coexistência de um casamento nas circunstâncias ora expostas (sem separação de fato) com uma união estável, sob pena de viabilizar a bigamia, já que é possível a conversão da união estável em casamento (artigo 8º da Lei 9.278/96). Merece reforma, pois, o acórdão recorrido. Os seguintes julgados demonstram que constitui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existência de impedimento para o matrimônio, por parte de um dos componentes do casal, embaraça a constituição da união estável.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2026-09-11T06:34:01.812Z</dcterms:created>
  <dcterms:modified xsi:type="dcterms:W3CDTF">2026-09-11T06:34:01.812Z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