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CARTÓRIO DE REGISTROS PÚBLICOS</w:t>
      </w:r>
    </w:p>
    <w:p>
      <w:r>
        <w:rPr>
          <w:i/>
          <w:iCs/>
          <w:color w:val="666666"/>
        </w:rPr>
        <w:t xml:space="preserve">PERSONALIDADE JURÍDICA</w:t>
      </w:r>
    </w:p>
    <w:p/>
    <w:p/>
    <w:p>
      <w:r>
        <w:t xml:space="preserve">PATRONÍMICO DO MARIDO — ACRÉSCIMO POSTERIOR AO CASAMENTO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sabido que questões relacionadas com nome e apelidos de família não mais são tratadas de forma absoluta, imutável, e que nosso ordenamento jurídico admite alterações, segundo as peculiaridades de cada caso. - Nada mais justo, pois quando do casamento, homem e mulher assumem a condição de consorte, ambos responsáveis pelos encargos da família. Por isso, o art. 1.565 do Código Civil, preceitua que qualquer dos nubentes poderá acrescer ao seu, o sobrenome do outro, caso queira. Tal opção deve ocorrer, preferencialmente no memorial de habilitação do casamento, porém, nada impede que seja realizada posteriormente. - Essa faculdade de alteração do nome tem como justificativa a possibilidade de tornar notória a modificação do estado civil da pessoa e a integração desta a uma nova família. - Dessa forma, por ser faculdade legal decorrente do surgimento de uma nova família, nada mais razoável quês este sobrenome seja comum. - No caso em tela, trata-se de direito personalíssimo da apelante em ter acrescido ao seu nome de casada o sobrenome do marido, devendo ser analisado o princípio da razoabilidade e atendendo aos fins sociais do direito. Além do que, inexistem nos autos indícios de fraude ou de que a pretensão da requerente possa prejudicar terceiros. - Com esses fundamentos, dou provimento ao recurso, para reformando a sentença de primeiro grau, reconhecer o direito da apelante em ter acrescido ao seu nome de casada o sobrenome do marido. Ac. de 17-04-2008 DJ de 21-05-2008 Juri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Direito personalíssimo da mulher em ver acrescido ao seu nome o sobrenome do marido. Orientação dada pelo princípio da razoabilidade e atendendo aos fins sociais do direito. - A alteração de preferência deve ocorrer no momento da habilitação, mas na há óbices legais para que ocorra posteriormente, ainda mais se não causar prejuízo à personalidade da requerente e nem a terceiros.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2026-09-10T22:12:19.944Z</dcterms:created>
  <dcterms:modified xsi:type="dcterms:W3CDTF">2026-09-10T22:12:19.944Z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