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CARTÓRIO DE REGISTROS PÚBLICOS</w:t>
      </w:r>
    </w:p>
    <w:p>
      <w:r>
        <w:rPr>
          <w:i/>
          <w:iCs/>
          <w:color w:val="666666"/>
        </w:rPr>
        <w:t xml:space="preserve">PERSONALIDADE JURÍDICA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EDIVALDO GEORGE DOS SANTOS</w:t>
      </w:r>
    </w:p>
    <w:p/>
    <w:p>
      <w:r>
        <w:t xml:space="preserve">IGREJA EVANGÉLICA — APLICAÇÃO DE MULTA PARA COIBIR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DA PRELIMINAR DE CARÊNCIA DE AÇÃO POR ILEGITIMIDADE ATIVA DO MINISTÉRIO PÚBLICO. - Não comungo com a preliminar argüida posto que segundo o art. 129, III da CR/88 e art. 1º, I, da Lei n. 7.347/85 o Ministério Público tem legitimidade ativa para promover ação civil pública para defesa do meio ambiente e o art. 225 da CR/88 também assegura referido direito para defesa da qualidade de vida de todos os cidadãos. - Portanto, REJEITO A PRELIMINAR. - Com o presente recurso objetiva o Agravante a reforma da decisão agravada de fls., a qual nos autos da ação civil pública com pedido de tutela antecipada para que a Agravante não proceda, realize ou permita que se faça qualquer ato ou atividade que provoque a partir de seu estabelecimento emissão ou propagação de sons ou ruídos em níveis superiores aos estabelecidos nas normas federal, estadual e municipal, ou seja, não perturbe o sossego alheio com ruídos ou sons excessivos que, independentemente do ruído de fundo atinjam no ambiente externo do recinto da Agravante nível sonoro superior a 70 (setenta) decibéis - dB (A) durante o dia e 60 (sessenta) decibéis dB (A) durante a noite, explicitado o horário noturno como aquele correspondido entre as 22 (vinte e duas) horas e as 6 (seis) horas, sob pena de multa de R$ 5.000,00 (cinco mil reais) por cada descumprimento constatado, inclusive pelos descumprimentos reiterados, deferiu a medida determinando oficiar ao Município de Governador Valadares para fiscalizar o cumprimento da decisão, objetivando ainda que a ação civil seja julgada ext inta pela perda de seu objeto em face da ilegitimidade ativa do Ministério Público. - Não comungo com a pretensão argüida, posto que a decisão agravada foi proferida dentro da legislação atinente à espécie, mormente dentro do preceito constitucional, bem como que a Lei Federal n. 6.938/81 que fixa a competência do CONAMA para estabelecer normas e padrões compatíveis com o meio ambiente ecologicamente equilibrado e essencial à sadia qualidade de vida. - Todavia, na parte referente à multa aplicada no caso de descumprimento da decisão agravada o eminente Des. Relator de Plantão Brandão Teixeria na parte referente à multa fixada quanto à poluição sonora manifesta que " ...Entretanto, no item 3.c de suas razões (f. dos originais) a própria agravante, muito louvavelmente, dá noticias de que ela mesma já alterou radicalmente sua forma de proceder e providenciou medições, segundo as quais, nos dias "8 e 9 de novembro p.p" suas atividades estariam dentro dos padrões legais. ... Nem a liberdade religiosa está sendo reprimida e, ao que parece, o sossego das pessoas não está sendo abalado. Mantendo-se a agravante dentro de tal padrão de conduta, estará livre de quaisquer multas, por mais pesadas que possam ser". - Ora, se a Agravante já modificou a forma de proceder e não mais está causando poluição sonora ao meio ambiente não só em seu recinto bem como com relação à paz e tranqüilidade da vizinhança, mormente nos horários incompatíveis com o sossego e a tranqüilidade não há porque irresignar com a decisão agravada. - Todavia, segundo preleciona HELY LOPES MEIRELLES: "Poluição é toda alteração das propriedades naturais do meio ambiente, causada por agente de qualquer espécie prejudicial à saúde, à segurança ou ao bem-estar da população sujeita aos seus efeitos". (Direito Administrativo Brasileiro, Malheiros, 27ª edição, 2002, pág. 553). - Contudo, em matéria ambiental a União pode legislar concorrentemente com os Estados e o Distrito Federal e o art. 24, VI, da CR/88 lhe dá competência para editar normas gerais assim como permitindo a edição de legislação suplementar por partes desses sem contrariar lei federal, uma vez que no âmbito da competência concorrente deve-se observar o princípio da hierarquia das normas tendo a legislação federal primazia sobre a estadual e municipal e a estadual sobre a municipal. - O CONAMA - Conselho Nacional do Meio Ambiente no uso de suas atribuições conferidas pela Lei Federal nº 6.938/81, com a redação dada pela Lei Federal nº 7.804/89, através da Resolução 01, de 08/03/90, estabeleceu que as medições devam ser efetuadas de acordo com a NBR 10.151-Avaliação do Ruído em Áreas Habitadas visando o conforto da comunidade, da ABNT, fixando os seguintes limites de ruído: Para área mista, predominantemente residencial - Diurno; 55 dB (A); Noturno: 50 dB (A); Para Área mista, com vocação comercial e administrativa-Diurno: 60 dB (A); Noturno: 55 dB (A). - Entretanto, se a Agravante 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poluição em seus multifários processos de exteriorização há muito já vem sendo objeto de tutela estatal como arqueiro defensor do direito da coletividade. - Insere-se na tutela estatal a poluição sonora que, excedendo o limite de decibéis permitidos, passa a ser alvo de censura judicial inclusive com aplicação de multa para coibir o respectivo direito tutelado.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2026-09-10T23:20:29.253Z</dcterms:created>
  <dcterms:modified xsi:type="dcterms:W3CDTF">2026-09-10T23:20:29.253Z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