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ARBITRAMENTO DO LUCRO</w:t>
      </w:r>
    </w:p>
    <w:p/>
    <w:p/>
    <w:p>
      <w:r>
        <w:t xml:space="preserve">02. PARCELAMENTO ORDINÁRIO DE DÉBITOS TRIBUTÁRIOS — REMISSÃO NOS CASOS EM QUE ESPECIFICA - CONCEDE - REGIME TRIBUTÁRIO DE TRANSIÇÃO - INSTITUI</w:t>
      </w:r>
    </w:p>
    <w:p/>
    <w:p>
      <w:pPr>
        <w:pStyle w:val="Heading2"/>
      </w:pPr>
      <w:r>
        <w:rPr>
          <w:b/>
          <w:bCs/>
        </w:rPr>
        <w:t xml:space="preserve">Ementa</w:t>
      </w:r>
    </w:p>
    <w:p>
      <w:r>
        <w:t xml:space="preserve">CAPÍTULO III DO REGIME TRIBUTÁRIO DE TRANSIÇÃO Art. 15. Fica instituído o Regime Tributário de Transição - RTT de apuração do lucro real, que trata dos ajustes tributários decorrentes dos novos métodos e critérios contábeis introduzidos pela Lei nº 11.638, de 28 de dezembro de 2007, e pelos arts. 37 e 38 desta Lei. (Revogado pela MP 627/2013) § 1º O RTT vigerá até a entrada em vigor de lei que discipline os efeitos tributários dos novos métodos e critérios contábeis, buscando a neutralidade tributária. § 2º Nos anos-calendário de 2008 e 2009, o RTT será optativo, observado o seguinte: I - a opção aplicar-se-á ao biênio 2008-2009, vedada a aplicação do regime em um único ano-calendário; II - a opção a que se refere o inciso I deste parágrafo deverá ser manifestada, de forma irretratável, na Declaração de Informações Econômico-Fiscais da Pessoa Jurídica 2009; III - no caso de apuração pelo lucro real trimestral dos trimestres já transcorridos do ano-calendário de 2008, a eventual diferença entre o valor do imposto devido com base na opção pelo RTT e o valor antes apurado deverá ser compensada ou recolhida até o último dia útil do primeiro mês subsequente ao de publicação desta Lei, conforme o caso; IV - na hipótese de início de atividades no ano-calendário de 2009, a opção deverá ser manifestada, de forma irretratável, na Declaração de Informações Econômico-Fiscais da Pessoa Jurídica 2010. § 3º Observado o prazo estabelecido no § 1º deste artigo, o RTT será obrigatório a partir do ano-calendário de 2010, inclusive para a apuração do imposto sobre a renda com base no lucro presumido ou arbitrado, da Contribuição Social sobre o Lucro Líquido - CSLL, da Contribuição para o PIS/PASEP e da Contribuição para o Financiamento da Seguridade Social - COFINS. § 4º Quando paga até o prazo previsto no inciso III do § 2º deste artigo, a diferença apurada será recolhida sem acréscimos. Art. 16. As alterações introduzidas pela Lei nº 11.638, de 28 de dezembro de 2007, e pelos arts. 37 e 38 desta Lei que modifiquem o critério de reconhecimento de receitas, custos e despesas computadas na apuração do lucro líquido do exercício definido no art. 191 da Lei nº 6.404, de 15 de dezembro de 1976, não terão efeitos para fins de apuração do lucro real da pessoa jurídica sujeita ao RTT, devendo ser considerados, para fins tributários, os métodos e critérios contábeis vigentes em 31 de dezembro de 2007. (Revogado pela MP 627/2013) Parágrafo único. Aplica-se o disposto no caput deste artigo às normas expedidas pela Comissão de Valores Mobiliários, com base na competência conferida pelo § 3º do art. 177 da Lei nº 6.404, de 15 de dezembro de 1976, e pelos demais órgãos reguladores que visem a alinhar a legislação específica com os padrões internacionais de contabilidade. Art. 17. Na ocorrência de disposições da lei tributária que conduzam ou incentivem a utilização de métodos ou critérios contábeis diferentes daqueles determinados pela Lei nº 6.404, de 15 de dezembro de 1976, com as alterações da Lei nº 11.638, de 28 de dezembro de 2007, e dos arts. 37 e 38 desta Lei, e pelas normas expedidas pela Comissão de Valores Mobiliários com base na competência conferida pelo § 3º do art. 177 da Lei nº 6.404, de 15 de dezembro de 1976, e demais órgãos reguladores, a pessoa jurídica sujeita ao RTT deverá realizar o seguinte procedimento: (Revogado pela MP 627/2013) I - utilizar os métodos e critérios definidos pela Lei nº 6.404, de 15 de dezembro de 1976, para apurar o resultado do exercício antes do Imposto sobre a Renda, referido no inciso V do caput do art. 187 dessa Lei, deduzido das participações de que trata o inciso VI do caput do mesmo artigo, com a adoção: a) dos métodos e critérios introduzidos pela Lei nº 11.638, de 28 de dezembro de 2007, e pelos arts. 37 e 38 desta Lei; e b) das determinações constantes das normas e xpedidas pela Comissão de Valores Mobiliários, com base na competência conferida pelo § 3º do art. 177 da Lei nº 6.404, de 15 de dezembro de 1976, no caso de companhias abertas e outras que optem pela sua observância; II - realizar ajustes específicos ao lucro líquido do período, apurado nos termos do inciso I do caput deste artigo, no Livro de Apuração do Lucro Real, inclusive com observância do disposto no § 2º deste artigo, que revertam o efeito da utilização de métodos e critérios contábeis diferentes daqueles da legislação tributária, baseada nos critérios contábeis vigentes em 31 de dezembro de 2007, nos termos do art. 16 desta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2026-07-28T04:27:45.966Z</dcterms:created>
  <dcterms:modified xsi:type="dcterms:W3CDTF">2026-07-28T04:27:45.966Z</dcterms:modified>
</cp:coreProperties>
</file>

<file path=docProps/custom.xml><?xml version="1.0" encoding="utf-8"?>
<Properties xmlns="http://schemas.openxmlformats.org/officeDocument/2006/custom-properties" xmlns:vt="http://schemas.openxmlformats.org/officeDocument/2006/docPropsVTypes"/>
</file>