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CONTRIBUIÇÕES PREVIDENCIÁRIAS</w:t>
      </w:r>
    </w:p>
    <w:p/>
    <w:p/>
    <w:p>
      <w:r>
        <w:t xml:space="preserve">03. PARCELAMENTO ORDINÁRIO DE DÉBITOS TRIBUTÁRIOS — REMISSÃO NOS CASOS EM QUE ESPECIFICA - CONCEDE - REGIME TRIBUTÁRIO DE TRANSIÇÃO - INSTITUI</w:t>
      </w:r>
    </w:p>
    <w:p/>
    <w:p>
      <w:pPr>
        <w:pStyle w:val="Heading2"/>
      </w:pPr>
      <w:r>
        <w:rPr>
          <w:b/>
          <w:bCs/>
        </w:rPr>
        <w:t xml:space="preserve">Ementa</w:t>
      </w:r>
    </w:p>
    <w:p>
      <w:r>
        <w:t xml:space="preserve">"Art. 43. ................. § 1º Nas sentenças judiciais ou nos acordos homologados em que não figurarem, discriminadamente, as parcelas legais relativas às contribuições sociais, estas incidirão sobre o valor total apurado em liquidação de sentença ou sobre o valor do acordo homologado. § 2º Considera-se ocorrido o fato gerador das contribuições sociais na data da prestação do serviço. § 3º As contribuições sociais serão apuradas mês a mês, com referência ao período da prestação de serviços, mediante a aplicação de alíquotas, limites máximos do salário-de-contribuição e acréscimos legais moratórios vigentes relativamente a cada uma das competências abrangidas, devendo o recolhimento ser efetuado no mesmo prazo em que devam ser pagos os créditos encontrados em liquidação de sentença ou em acordo homologado, sendo que nesse último caso o recolhimento será feito em tantas parcelas quantas as previstas no acordo, nas mesmas datas em que sejam exigíveis e proporcionalmente a cada uma delas. § 4º No caso de reconhecimento judicial da prestação de serviços em condições que permitam a aposentadoria especial após 15 (quinze), 20 (vinte) ou 25 (vinte e cinco) anos de contribuição, serão devidos os acréscimos de contribuição de que trata o § 6º do art. 57 da Lei nº 8.213, de 24 de julho de 1991. § 5º Na hipótese de acordo celebrado após ter sido proferida decisão de mérito, a contribuição será calculada com base no valor do acordo. § 6º Aplica-se o disposto neste artigo aos valores devidos ou pagos nas Comissões de Conciliação Prévia de que trata a Lei nº 9.958, de 12 de janeiro de 2000." (NR) "Art. 49. A matrícula da empresa será efetuada nos termos e condições estabelecidos pela Secretaria da Receita Federal do Brasil. I - (revogado); II - (revogado). § 1º No caso de obra de construção civil, a matrícula deverá ser efetuada mediante comunicação obrigatória do responsável por sua execução, no prazo de 30 (trinta) dias, contado do iníc io de suas atividades, quando obterá número cadastral básico, de caráter permanente. a) (revogada); b) (revogada). § 2º (Revogado). § 3º O não cumprimento do disposto no § 1º deste artigo sujeita o responsável a multa na forma estabelecida no art. 92 desta Lei. § 4º O Departamento Nacional de Registro do Comércio - DNRC, por intermédio das Juntas Comerciais bem como os Cartórios de Registro Civil de Pessoas Jurídicas prestarão, obrigatoriamente, à Secretaria da Receita Federal do Brasil todas as informações referentes aos atos constitutivos e alterações posteriores relativos a empresas e entidades neles registradas. ....................." (NR) "Art. 50. (VETADO)" "Art. 52. Às empresas, enquanto estiverem em débito não garantido com a União, aplica-se o disposto no art. 32 da Lei nº 4.357, de 16 de julho de 1964. I - (revogado); II - (revogado). Parágrafo único. (Revogado)." (NR) "Art. 60. O pagamento dos benefícios da Seguridade Social será realizado por intermédio da rede bancária ou por outras formas definidas pelo Ministério da Previdência Social. ....................." (NR) "Art. 89. As contribuições sociais previstas nas alíneas a, b e c do parágrafo único do art. 11 desta Lei, as contribuições instituídas a título de substituição e as contribuições devidas a terceiros somente poderão ser restituídas ou compensadas nas hipóteses de pagamento ou recolhimento indevido ou maior que o devido, nos termos e condições estabelecidos pela Secretaria da Receita Federal do Brasil. § 1º (Revogado). § 2º (Revogado). § 3º (Revogado). § 4º O valor a ser restituído ou compensado será acrescido de juros obtidos pela aplicação da taxa referencial do Sistema Especial de Liquidação e de Custódia - SELIC para títulos federais, acumulada mensalmente, a partir do mês subsequente ao do pagamento indevido ou a maior que o devido até o mês anterior ao da compensação ou restituição e de 1% (um por cento) relativamente ao mês em que estiver sendo efetuada. § 5º (Revogado). § 6º (Revogado). § 7º (Revogado). ................................ § 9º Os valores compensados indevidamente serão exigidos com os acréscimos moratórios de que trata o art. 35 desta Lei. § 10. Na hipótese de compensação indevida, quando se comprove falsidade da declaração apresentada pelo sujeito passivo, o contribuinte estará sujeito à multa isolada aplicada no percentual previsto no inciso I do caput do art. 44 da Lei nº 9.430, de 27 de dezembro de 1996, aplicado em dobro, e terá como base de cálculo o valor total do débito indevidamente compensad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2026-07-28T00:16:53.564Z</dcterms:created>
  <dcterms:modified xsi:type="dcterms:W3CDTF">2026-07-28T00:16:53.564Z</dcterms:modified>
</cp:coreProperties>
</file>

<file path=docProps/custom.xml><?xml version="1.0" encoding="utf-8"?>
<Properties xmlns="http://schemas.openxmlformats.org/officeDocument/2006/custom-properties" xmlns:vt="http://schemas.openxmlformats.org/officeDocument/2006/docPropsVTypes"/>
</file>