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PIS/PASEP</w:t>
      </w:r>
    </w:p>
    <w:p>
      <w:r>
        <w:rPr>
          <w:i/>
          <w:iCs/>
          <w:color w:val="666666"/>
        </w:rPr>
        <w:t xml:space="preserve">DECRETO 5.629 DE 22-12-2005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02. LEGISLAÇÃO TRIBUTÁRIA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Art. 22. Salvo disposição expressa em contrário, caso a não-incidência, a isenção, a suspensão ou a redução das alíquotas da Contribuição para o PIS/Pasep, da Cofins, da Contribuição para o PIS/Pasep-Importação e da Cofins-Importação for condicionada à destinação do bem ou do serviço, e a este for dado destino diverso, ficará o responsável pelo fato sujeito ao pagamento das contribuições e das penalidades cabíveis, como se a não-incidência, a isenção, a suspensão ou a redução das alíquotas não existisse. (Produção de efeitos). Art. 23. Os incisos III e IV do art. 1º da Lei nº 11.482, de 31 de maio de 2007, passam a vigorar com a seguinte redação: "Art. 1º ................... ................................. III - para o ano-calendário de 2009: Tabela Progressiva Mensal Base de Cálculo (R$) Alíquota (%) Parcela a Deduzir do IR (R$) Até 1.434,59 - - De 1.434,60 até 2.150,00 7,5 107,59 De 2.150,01 até 2.866,70 15 268,84 De 2.866,71 até 3.582,00 22,5 483,84 Acima de 3.582,00 27,5 662,94 IV - a partir do ano-calendário de 2010: Tabela Progressiva Mensal Base de Cálculo (R$) Alíquota (%) Parcela a Deduzir do IR (R$) Até 1.499,15 - - De 1.499,16 até 2.246,75 7,5 112,43 De 2.246,76 até 2.995,70 15 280,94 De 2.995,71 até 3.743,19 22,5 505,62 Acima de 3.743,19 27,5 692,78 ....................." (NR) Art. 24. O art. 2º da Lei nº 10.996, de 15 de dezembro de 2004, passa a vigorar com a seguinte redação: (Produção de efeitos). "Art. 2º ................... ................................. § 3º As disposições deste artigo aplicam-se às vendas de mercadorias destinadas ao consumo ou à industrialização nas Áreas de Livre Comércio de que tratam as Leis nºs 7.965, de 22 de dezembro de 1989, 8.210, de 19 de julho de 1991, e 8.256, de 25 de novembro de 1991, o art. 11 da Lei nº 8.387, de 30 de dezembro de 1991, e a Lei nº 8.857, de 8 de março de 1994, por pessoa jurídica esta belecida fora dessas áreas." (NR) Art. 25. O art. 6º da Lei nº 11.345, de 14 de setembro de 2006, passa a vigorar com a seguinte redação: "Art. 6º ................... .................................. § 8º-A. A partir de 2009, o quantitativo máximo da complementação prevista no § 8º será o resultado da diferença entre 10% (dez por cento) do valor da prestação mensal prevista no caput do art. 4º desta Lei e a remuneração mensal constante do caput deste artigo, ou R$ 50.000,00 (cinquenta mil reais), prevalecendo o maior montante, sem prejuízo da manutenção da quantidade de parcelas dispostas no § 1º do art. 4º desta Lei. § 8º-B. O percentual do valor da prestação mensal, previsto no § 8º-A deste artigo referente ao cálculo do quantitativo máximo da complementação de que trata o § 8º, deverá ser, em 2010, reajustado para 20% (vinte por cento), sendo acrescido em mais 10% (dez por cento) da prestação mensal a cada ano subsequente, prevalecendo para pagamento o resultado desse cálculo, ou R$ 50.000,00 (cinquenta mil reais), o que representar maior montante. ......................" (NR) Art. 26. Para as entidades desportivas referidas no § 2º do art. 1º da Lei nº 11.345, de 14 de setembro de 2006, o prazo previsto no art. 10 da referida Lei fica reaberto por 60 (sessenta) dias contados da data de publicação desta Lei. Art. 27. (VETADO) Art. 28. A Lei nº 7.827, de 27 de setembro de 1989, passa a vigorar com as seguintes alterações: "Art. 15. .................. ................................. VI - exercer outras atividades inerentes à aplicação dos recursos e à recuperação dos créditos, inclusive a de renegociar dívidas, nos termos definidos nos arts. 15-B, 15-C e 15-D desta Lei. ......................" (NR) "Art. 15-B. Ficam convalidadas as liquidações de dívida efetuadas pelas instituições financeiras federais administradoras dos Fundos Constitucionais, que tenham sido realizadas em conformidade com a s práticas e regulamentações bancárias das respectivas instituições e que tenham sido objeto de demanda judicial, recebidas pelo equivalente financeiro do valor dos bens passíveis de penhora dos devedores diretos e respectivos garantes, relativamente a operações concedidas com recursos dos Fundos Constitucionais de Financiamento, de que trata esta Lei. § 1º Para os efeitos desta Lei, considera-se liquidada a dívida pelo equivalente financeiro do valor dos bens passíveis de penhora quando obtida mediante o desconto a uma taxa real que corresponda ao custo de oportunidade do Fundo que tenha provido os recursos financiadores da dívida liquidada, pelo tempo estimado para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2026-09-10T22:21:00.742Z</dcterms:created>
  <dcterms:modified xsi:type="dcterms:W3CDTF">2026-09-10T22:21:00.742Z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