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 49.820.</w:t>
      </w:r>
    </w:p>
    <w:p/>
    <w:p>
      <w:r>
        <w:t xml:space="preserve">DIREITO DE CONSTRUIR — CONSTRUÇÃO LEVANTADA POSTERIORMENTE -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Verificados os pressupostos legais para o licenciamento da obra, não o impede a declaração de utilidade pública para desapropriação do imóvel, mas o valor da obra não se incluirá na indenização, quando a desapropriação for efetivada. Referência: Lei de Desapropriação por Utilidade Pública (Dec.-Lei nº 3.365, de 21.06.41), arts. 7º, 10, 15 e 26, parágrafo único RE 49.820. de 28.06.62. Aprovada em sessão de 13-12-1963 - pág. 40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2026-07-28T02:26:28.303Z</dcterms:created>
  <dcterms:modified xsi:type="dcterms:W3CDTF">2026-07-28T02:26:28.303Z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