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49.820.</w:t>
      </w:r>
    </w:p>
    <w:p/>
    <w:p>
      <w:r>
        <w:t xml:space="preserve">DIREITO DE CONSTRUIR — CONSTRUÇÃO LEVANTADA POSTERIORMENTE -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Verificados os pressupostos legais para o licenciamento da obra, não o impede a declaração de utilidade pública para desapropriação do imóvel, mas o valor da obra não se incluirá na indenização, quando a desapropriação for efetivada. Referência: Lei de Desapropriação por Utilidade Pública (Dec.-Lei nº 3.365, de 21.06.41), arts. 7º, 10, 15 e 26, parágrafo único RE 49.820. de 28.06.62. Aprovada em sessão de 13-12-1963 - pág. 40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2026-10-26T02:15:31.693Z</dcterms:created>
  <dcterms:modified xsi:type="dcterms:W3CDTF">2026-10-26T02:15:31.693Z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