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FARMACÊUTICO</w:t>
      </w:r>
    </w:p>
    <w:p>
      <w:r>
        <w:rPr>
          <w:i/>
          <w:iCs/>
          <w:color w:val="666666"/>
        </w:rPr>
        <w:t xml:space="preserve">EMPRESA DISTRIBUIDORA DE DROGAS</w:t>
      </w:r>
    </w:p>
    <w:p/>
    <w:p>
      <w:r>
        <w:rPr>
          <w:b/>
          <w:bCs/>
        </w:rPr>
        <w:t xml:space="preserve">Recurso: </w:t>
      </w:r>
      <w:r>
        <w:t xml:space="preserve">re .</w:t>
      </w:r>
    </w:p>
    <w:p/>
    <w:p>
      <w:r>
        <w:t xml:space="preserve">04. RESPONSABILIDADE — FINANÇAS PÚBLICAS - NORMAS ESTABELECE</w:t>
      </w:r>
    </w:p>
    <w:p/>
    <w:p>
      <w:pPr>
        <w:pStyle w:val="Heading2"/>
      </w:pPr>
      <w:r>
        <w:rPr>
          <w:b/>
          <w:bCs/>
        </w:rPr>
        <w:t xml:space="preserve">Ementa</w:t>
      </w:r>
    </w:p>
    <w:p>
      <w:r>
        <w:t xml:space="preserve">CAPÍTULO X DISPOSIÇÕES FINAIS E TRANSITÓRIAS Art. 60. Lei estadual ou municipal poderá fixar limites inferiores àqueles previstos nesta Lei Complementar para as dívidas consolidada e mobiliária, operações de crédito e concessão de garantias. Art. 61. Os títulos da dívida pública, desde que devidamente escriturados em sistema centralizado de liquidação e custódia, poderão ser oferecidos em caução para garantia de empréstimos, ou em outras transações previstas em lei, pelo seu valor econômico, conforme definido pelo Ministério da Fazenda. Art. 62. Os Municípios só contribuirão para o custeio de despesas de competência de outros entes da Federação se houver: I - autorização na lei de diretrizes orçamentárias e na lei orçamentária anual; II - convênio, acordo, ajuste ou congênere, conforme sua legislação. Art. 63. É facultado aos Municípios com população inferior a cinqüenta mil habitantes optar por: I - aplicar o disposto no art. 22 e no § 4º do art. 30 ao final do semestre; II - divulgar semestralmente: a) (VETADO) b) o Relatório de Gestão Fiscal; c) os demonstrativos de que trata o art. 53; III - elaborar o Anexo de Política Fiscal do plano plurianual, o Anexo de Metas Fiscais e o Anexo de Riscos Fiscais da lei de diretrizes orçamentárias e o anexo de que trata o inciso I do art. 5º a partir do quinto exercício seguinte ao da publicação desta Lei Complementar. § 1º A divulgação dos relatórios e demonstrativos deverá ser realizada em até trinta dias após o encerramento do semestre. § 2º Se ultrapassados os limites relativos à despesa total com pessoal ou à dívida consolidada, enquanto perdurar esta situação, o Município ficará sujeito aos mesmos prazos de verificação e de retorno ao limite definidos para os demais entes. Art. 64. A União prestará assistência técnica e cooperação financeira aos Municípios para a modernização das respectivas administrações tributári a, financeira, patrimonial e previdenciária, com vistas ao cumprimento das normas desta Lei Complementar. § 1º A assistência técnica consistirá no treinamento e desenvolvimento de recursos humanos e na transferência de tecnologia, bem como no apoio à divulgação dos instrumentos de que trata o art. 48 em meio eletrônico de amplo acesso público. § 2º A cooperação financeira compreenderá a doação de bens e valores, o financiamento por intermédio das instituições financeiras federais e o repasse de recursos oriundos de operações externas. Art. 65. Na ocorrência de calamidade pública reconhecida pelo Congresso Nacional, no caso da União, ou pelas Assembléias Legislativas, na hipótese dos Estados e Municípios, enquanto perdurar a situação: I - serão suspensas a contagem dos prazos e as disposições estabelecidas nos arts. 23 , 31 e 70; II - serão dispensados o atingimento dos resultados fiscais e a limitação de empenho prevista no art. 9º. Parágrafo único. Aplica-se o disposto no caput no caso de estado de defesa ou de sítio, decretado na forma da Constituição. Art. 66. Os prazos estabelecidos nos arts. 23, 31 e 70 serão duplicados no caso de crescimento real baixo ou negativo do Produto Interno Bruto (PIB) nacional, regional ou estadual por período igual ou superior a quatro trimestres. § 1º Entende-se por baixo crescimento a taxa de variação real acumulada do Produto Interno Bruto inferior a 1% (um por cento), no período correspondente aos quatro últimos trimestres. § 2º A taxa de variação será aquela apurada pela Fundação Instituto Brasileiro de Geografia e Estatística ou outro órgão que vier a substituí-la, adotada a mesma metodologia para apuração dos PIB nacional, estadual e regional. § 3º Na hipótese do caput, continuarão a ser adotadas as medidas previstas no art. 22. § 4º Na hipótese de se verificarem mudanças drásticas na condução das políticas monetária e cambial, reconhecidas pelo Senado Federal, o prazo referido no caput do art. 31 poderá ser ampliado em até quatro quadrimestres. Art. 67. O acompanhamento e a avaliação, de forma permanente, da política e da operacionalidade da gestão fiscal serão realizados por conselho de gestão fiscal, constituído por representantes de todos os Poderes e esferas de Governo, do Ministério Público e de entidades técnicas representativas da sociedade, visando a: I - harmonização e coordenação entre os entes da Federação; II - disseminação de práticas que resultem em maior eficiência na alocação e execução do gasto público, na arrecadação de receitas, no controle do endividamento e na transparência da gestão fiscal; III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2026-06-17T16:57:19.914Z</dcterms:created>
  <dcterms:modified xsi:type="dcterms:W3CDTF">2026-06-17T16:57:19.914Z</dcterms:modified>
</cp:coreProperties>
</file>

<file path=docProps/custom.xml><?xml version="1.0" encoding="utf-8"?>
<Properties xmlns="http://schemas.openxmlformats.org/officeDocument/2006/custom-properties" xmlns:vt="http://schemas.openxmlformats.org/officeDocument/2006/docPropsVTypes"/>
</file>