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RESTAURANTE</w:t>
      </w:r>
    </w:p>
    <w:p/>
    <w:p/>
    <w:p>
      <w:r>
        <w:t xml:space="preserve">MAU USO DA PROPRIEDADE — MATERIAL ATÓXICO E NÃO INFLAMÁVEL - ART. 1.280 DO CC</w:t>
      </w:r>
    </w:p>
    <w:p/>
    <w:p>
      <w:pPr>
        <w:pStyle w:val="Heading2"/>
      </w:pPr>
      <w:r>
        <w:rPr>
          <w:b/>
          <w:bCs/>
        </w:rPr>
        <w:t xml:space="preserve">Ementa</w:t>
      </w:r>
    </w:p>
    <w:p>
      <w:r>
        <w:t xml:space="preserve">EXMO. SR. DR. JUIZ DE DIREITO DA ... VARA CÍVEL DA COMARCA DE ... Autos do processo nº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apresentar a presente CONTESTAÇÃO A AÇÃO DE DANO INFECTO que lhe move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pelos motivos de fato e de direito que passa a expor: O réu e proprietário do imóvel ..., e tem como vizinho o Autor, sendo que as alegações contidas na exordial, não condizem com a verdade senão vejamos. A estocagem feita nos fundos da residência trata-se do produto ...,e não é nem inflamável nem explosivo e muito menos tóxico conforme laudo elaborando por técnico do fabricante que vistoriou o local chegando a essa conclusão: a estocagem onde está sendo feita, não oferece perigo ao réu nem aos vizinhos muito menos ao autor. Pelo acima exposto, MM. Juiz, vê-se que o presente caso não preenche o que determina no artigo 1280 do Código Civil, posto que não há possibilidade de dano as famílias dos vizinhos, porque não se trata de material atóxico não inflamável e muito menos explosivo. Isto posto requer que a presente demanda seja julgada TOTALMENTE IMPROCEDENTE, por conseqüência mantidos os referidos materiais no local onde se encontram, bem como condenando os autores aos pagamentos das custas e dos honorários advocatícios. Protesta pela produção de provas que se fizerem necessárias, entre elas o depoimento pessoal do réu, sob pe na de confesso, e inquirição das testemunhas abaixo arroladas, que comparecerão a audiência independentemente de intimação. Termos que Pede deferimento. ..., ... de ... de ... ... ... ROL DE TESTEMUNHAS: 1) ... 2) ... 3) ... N. da R.: 1. Este modelo de petição deve ser adequado ao caso. 2. Legislação citada sujeita a alterações. Ver o menu Legislação na tela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2026-10-26T03:25:05.004Z</dcterms:created>
  <dcterms:modified xsi:type="dcterms:W3CDTF">2026-10-26T03:25:05.004Z</dcterms:modified>
</cp:coreProperties>
</file>

<file path=docProps/custom.xml><?xml version="1.0" encoding="utf-8"?>
<Properties xmlns="http://schemas.openxmlformats.org/officeDocument/2006/custom-properties" xmlns:vt="http://schemas.openxmlformats.org/officeDocument/2006/docPropsVTypes"/>
</file>