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RESPONSABILIDADE SOLIDÁRIA</w:t>
      </w:r>
    </w:p>
    <w:p/>
    <w:p/>
    <w:p>
      <w:r>
        <w:t xml:space="preserve">SENTENÇA OMISSA — APLICAÇÃO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Quer no regime da Lei nº 5.316/67, quer na vigência da Lei nº 6.367/76, a indenização por acidente do trabalho deve ser corrigida monetariamente. Esse princípio é válido mesmo que a sentença proferida no processo de conhecimento seja omissa. A indenização acidentária tem por base o salário de contribuição do dia do acidente, com os reajustes posteriores, calculando-se as prestações vencidas de acordo com o valor do benefício à data do efetivo pagamento. Referência: Uniformização da Jurisprudência nº 9 - Reg. 81 Arquivo do EMFOR, TA/720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2026-09-11T00:09:02.583Z</dcterms:created>
  <dcterms:modified xsi:type="dcterms:W3CDTF">2026-09-11T00:09:02.583Z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