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ADMINISTRADOR DO LOCADOR</w:t>
      </w:r>
    </w:p>
    <w:p/>
    <w:p/>
    <w:p>
      <w:r>
        <w:t xml:space="preserve">DESCONSIDERAÇÃO DA PERSONALIDADE JURÍDICA — PENHORA DOS SEUS BENS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elementos trazidos aos autos demonstram o apelado, sem poder de controle, não influencia de forma decisiva nas deliberações da sociedade executada. - O apelado, ao contrário do que afirma o apelante, só possui 10%(dez por cento) das cotas da sociedade e só pode praticar atos em conjunto com outro sócio (contrato social, cláusulas 4ª e 5ª, fls). O outro sócio possui 90% (noventa por cento) do capital social e pode praticar atos isoladamente. - Tal fato indica que o apelado , isolado, não manejou a sociedade e celebrou o mútuo com o intuito de obter vantagem pessoal. - Além disso, o apelante não produziu qualquer prova de que o apelado obteve vantagem pessoal com o mútuo celebrado em nome da sociedade. - E o apelante também não propos qualquer ação contra o apelado, simplesmente indicou o seu bem à penhora na execução proposta contra a sociedade e o seu outro sócio. - E o fato da apelante tornar à atividade é irrelevante para a situação pessoal do apelado em relação a este conflito. - Por estes motivos, rejeita-se a preliminar e nega-se provimento ao recurso. Ac. de 05-04-2001 DJ de 23-04-2001 Arquivo do EMFOR, TJRJ/N 7408 N. da R.: ver o t. SOCIEDADE POR QUOTAS, st. SÓCIO-QUOTISTA EMENTÁ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ordenamento jurídico, quando o sócio controlador abusa do seu poder e o exerce além dos seus limites com o fim específico de causar prejuízos à sociedade, terceiros e obter vantagem pessoal, admite a desconsideração da personalidade jurídica da sociedade para que o patrimônio do sócio responda por suas obrigações. - Mas o sócio minoritário, cujas cotas são insuficientes para influenciar de forma decisiva nas deliberações sobre os rumos de uma sociedade, não tem o poder de manejá-la para obtenção de vantagem pessoal com celebração de mútuo e, como terceiro na respectiva ação de execução, pode afastar a constrição judicial sobre o seu patrimônio.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2026-10-26T03:02:17.600Z</dcterms:created>
  <dcterms:modified xsi:type="dcterms:W3CDTF">2026-10-26T03:02:17.600Z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