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APREENSÃO DE VEÍCULO</w:t>
      </w:r>
    </w:p>
    <w:p/>
    <w:p/>
    <w:p>
      <w:r>
        <w:t xml:space="preserve">09. CAPÍTULO XVII — Das Medidas Administrativas
      CAPÍTULO XVIII - Do Processo Administrativo
      CAPÍTULO XIX - Dos Crimes de Trânsito</w:t>
      </w:r>
    </w:p>
    <w:p/>
    <w:p>
      <w:pPr>
        <w:pStyle w:val="Heading2"/>
      </w:pPr>
      <w:r>
        <w:rPr>
          <w:b/>
          <w:bCs/>
        </w:rPr>
        <w:t xml:space="preserve">Ementa</w:t>
      </w:r>
    </w:p>
    <w:p>
      <w:r>
        <w:t xml:space="preserve">Art. 271. O veículo será removido, nos casos previstos neste Código, para o depósito fixado pelo órgão ou entidade competente, com circunscrição sobre a via. Parágrafo único. A restituição dos veículos removidos só ocorrerá mediante o pagamento das multas, taxas e despesas com remoção e estada, além de outros encargos previstos na legislação específica. Art. 272. O recolhimento da Carteira Nacional de Habilitação e da Permissão para Dirigir dar-se-á mediante recibo, além dos casos previstos neste Código, quando houver suspeita de sua inautenticidade ou adulteração. Art. 273. O recolhimento do Certificado de Registro dar-se-á mediante recibo, além dos casos previstos neste Código, quando: I - houver suspeita de inautenticidade ou adulteração; II - se, alienado o veículo, não for transferida sua propriedade no prazo de trinta dias. Art. 274. O recolhimento do Certificado de Licenciamento Anual dar-se-á mediante recibo, além dos casos previstos neste Código, quando: I - houver suspeita de inautenticidade ou adulteração; II - se o prazo de licenciamento estiver vencido; III - no caso de retenção do veículo, se a irregularidade não puder ser sanada no local. Art. 275. O transbordo da carga com peso excedente é condição para que o veículo possa prosseguir viagem e será efetuado às expensas do proprietário do veículo, sem prejuízo da multa aplicável. Parágrafo único. Não sendo possível desde logo atender ao disposto neste artigo, o veículo será recolhido ao depósito, sendo liberado após sanada a irregularidade e pagas as despesas de remoção e estada. Art. 276. Qualquer concentração de álcool por litro de sangue ou por litro de ar alveolar sujeita o condutor às penalidades previstas no art. 165. (Redação dada pela Lei 12.760/2012) Parágrafo único. O Contran disciplinará as margens de tolerância quando a infração for apurada por meio de aparelho de medição, observada a legislação metrológica. (Redação dada pela Lei 12.760/2012) Art. 277. O condutor de veículo automotor envolvido em acidente de trânsito ou que for alvo de fiscalização de trânsito poderá ser submetido a teste, exame clínico, perícia ou outro procedimento que, por meios técnicos ou científicos, na forma disciplinada pelo Contran, permita certificar influência de álcool ou outra substância psicoativa que determine dependência. (Redação dada pela Lei 12.760/2012) § 1º (Revogado pela Lei 12.760/2012) § 2º A infração prevista no art. 165 também poderá ser caracterizada mediante imagem, vídeo, constatação de sinais que indiquem, na forma disciplinada pelo Contran, alteração da capacidade psicomotora ou produção de quaisquer outras provas em direito admitidas. (Redação dada pela Lei 12.760/2012) § 3º Serão aplicadas as penalidades e medidas administrativas estabelecidas no art. 165 deste Código ao condutor que se recusar a se submeter a qualquer dos procedimentos previstos no caput deste artigo. (Incluído pela Lei nº 11.705, de 2008) Art. 278. Ao condutor que se evadir da fiscalização, não submetendo veículo à pesagem obrigatória nos pontos de pesagem, fixos ou móveis, será aplicada a penalidade prevista no art. 209, além da obrigação de retornar ao ponto de evasão para fim de pesagem obrigatória. Parágrafo único. No caso de fuga do condutor à ação policial, a apreensão do veículo dar-se-á tão logo seja localizado, aplicando-se, além das penalidades em que incorre, as estabelecidas no art. 210. Art. 279. Em caso de acidente com vítima, envolvendo veículo equipado com registrador instantâneo de velocidade e tempo, somente o perito oficial encarregado do levantamento pericial poderá retirar o disco ou unidade armazenadora do registro. CAPÍTULO XVIII DO PROCESSO ADMINISTRATIVO Seção I Da Autuação Art. 280. Ocorrendo infração prevista na legislação de trânsito, lavrar-se-á auto de infração, do qual constará: I - tipificação da infração; II - local, data e hora do cometimento da infração; III - caracteres da placa de identificação do veículo, sua marca e espécie, e outros elementos julgados necessários à sua identificação; IV - o prontuário do condutor, sempre que possível; V - identificação do órgão ou entidade e da autoridade ou agente autuador ou equipamento que comprovar a infração; VI - assinatura do infrator, sempre que possível, valendo esta como notificação do cometimento da infração. § 1º (VETADO) § 2º A infração deverá ser comprovada por declaração da autoridade ou do agente da autoridade de trânsito, por aparelho eletrônico ou por equipamento audiovisual, reaçõe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2026-07-28T04:21:55.178Z</dcterms:created>
  <dcterms:modified xsi:type="dcterms:W3CDTF">2026-07-28T04:21:55.178Z</dcterms:modified>
</cp:coreProperties>
</file>

<file path=docProps/custom.xml><?xml version="1.0" encoding="utf-8"?>
<Properties xmlns="http://schemas.openxmlformats.org/officeDocument/2006/custom-properties" xmlns:vt="http://schemas.openxmlformats.org/officeDocument/2006/docPropsVTypes"/>
</file>