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Recurso: </w:t>
      </w:r>
      <w:r>
        <w:t xml:space="preserve">re .</w:t>
      </w:r>
    </w:p>
    <w:p/>
    <w:p>
      <w:r>
        <w:t xml:space="preserve">010. CAPÍTULO XIX — Dos Crimes de Trânsito
        CAPÍTULO XX - Disposições Finais e Transitórias</w:t>
      </w:r>
    </w:p>
    <w:p/>
    <w:p>
      <w:pPr>
        <w:pStyle w:val="Heading2"/>
      </w:pPr>
      <w:r>
        <w:rPr>
          <w:b/>
          <w:bCs/>
        </w:rPr>
        <w:t xml:space="preserve">Ementa</w:t>
      </w:r>
    </w:p>
    <w:p>
      <w:r>
        <w:t xml:space="preserve">Art. 311. Trafegar em velocidade incompatível com a segurança nas proximidades de escolas, hospitais, estações de embarque e desembarque de passageiros, logradouros estreitos, ou onde haja grande movimentação ou concentração de pessoas, gerando perigo de dano: Penas - detenção, de seis meses a um ano, ou multa. Art. 312. Inovar artificiosamente, em caso de acidente automobilístico com vítima, na pendência do respectivo procedimento policial preparatório, inquérito policial ou processo penal, o estado de lugar, de coisa ou de pessoa, a fim de induzir a erro o agente policial, o perito, ou juiz: Penas - detenção, de seis meses a um ano, ou multa. Parágrafo único. Aplica-se o disposto neste artigo, ainda que não iniciados, quando da inovação, o procedimento preparatório, o inquérito ou o processo aos quais se refere. CAPÍTULO XX DISPOSIÇÕES FINAIS E TRANSITÓRIAS Art. 313. O Poder Executivo promoverá a nomeação dos membros do CONTRAN no prazo de sessenta dias da publicação deste Código. Art. 314. O CONTRAN tem o prazo de duzentos e quarenta dias a partir da publicação deste Código para expedir as resoluções necessárias à sua melhor execução, bem como revisar todas as resoluções anteriores à sua publicação, dando prioridade àquelas que visam a diminuir o número de acidentes e a assegurar a proteção de pedestres. Parágrafo único. As resoluções do CONTRAN, existentes até a data de publicação deste Código, continuam em vigor naquilo em que não conflitem com ele. Art. 315. O Ministério da Educação e do Desporto, mediante proposta do CONTRAN, deverá, no prazo de duzentos e quarenta dias contado da publicação, estabelecer o currículo com conteúdo programático relativo à segurança e à educação de trânsito, a fim de atender o disposto neste Código. Art. 316. O prazo de notificação previsto no inciso II do parágrafo único do art. 281 só entrará e m vigor após duzentos e quarenta dias contados da publicação desta Lei. Art. 317. Os órgãos e entidades de trânsito concederão prazo de até um ano para a adaptação dos veículos de condução de escolares e de aprendizagem às normas do inciso III do art. 136 e art. 154, respectivamente. Art. 318. (VETADO) Art. 319. Enquanto não forem baixadas novas normas pelo CONTRAN, continua em vigor o disposto no art. 92 do Regulamento do Código Nacional de Trânsito - Decreto nº 62.127, de 16 de janeiro de 1968. Art. 320. A receita arrecadada com a cobrança das multas de trânsito será aplicada, exclusivamente, em sinalização, engenharia de tráfego, de campo, policiamento, fiscalização e educação de trânsito. Parágrafo único. O percentual de cinco por cento do valor das multas de trânsito arrecadadas será depositado, mensalmente, na conta de fundo de âmbito nacional destinado à segurança e educação de trânsito. Art. 321. (VETADO) Art. 322. (VETADO) Art. 323. O CONTRAN, em cento e oitenta dias, fixará a metodologia de aferição de peso de veículos, estabelecendo percentuais de tolerância, sendo durante este período suspensa a vigência das penalidades previstas no inciso V do art. 231, aplicando-se a penalidade de vinte UFIR por duzentos quilogramas ou fração de excesso. Parágrafo único. Os limites de tolerância a que se refere este artigo, até a sua fixação pelo CONTRAN, são aqueles estabelecidos pela Lei nº 7.408, de 25 de novembro de 1985. Art. 324. (VETADO) Art. 325. As repartições de trânsito conservarão por cinco anos os documentos relativos à habilitação de condutores e ao registro e licenciamento de veículos, podendo ser microfilmados ou armazenados em meio magnético ou óptico para todos os efeitos legais. Art. 326. A Semana Nacional de Trânsito será comemorada anualmente no período compreendido entre 18 e 25 de setembro. Art. 3 27. A partir da publicação deste Código, somente poderão ser fabricados e licenciados veículos que obedeçam aos limites de peso e dimensões fixados na forma desta Lei, ressalvados os que vierem a ser regulamentados pelo CONTRAN. Parágrafo único. (VETADO) Art. 328. Os veículos apreendidos ou removidos a qualquer título e os animais não reclamados por seus proprietários, dentro do prazo de noventa dias, serão levados à hasta pública, deduzindo-se, do valor arrecadado, o montante da dívida relativa a multas, tributos e encargos legais, e o restante, se houver, depositado à conta do ex-proprietário, na forma da lei. Art. 329. Os condutores dos veículos de que tratam os arts. 135 e 136, para exercerem suas atividades, deverão apresentar, previamente, certidão negativa do registro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2026-07-27T23:19:09.624Z</dcterms:created>
  <dcterms:modified xsi:type="dcterms:W3CDTF">2026-07-27T23:19:09.624Z</dcterms:modified>
</cp:coreProperties>
</file>

<file path=docProps/custom.xml><?xml version="1.0" encoding="utf-8"?>
<Properties xmlns="http://schemas.openxmlformats.org/officeDocument/2006/custom-properties" xmlns:vt="http://schemas.openxmlformats.org/officeDocument/2006/docPropsVTypes"/>
</file>