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21. REGULAMENTO DA PREVIDÊNCIA SOCIAL
      LIVRO III — DO CUSTEIO DA SEGURIDADE SOCIAL</w:t>
      </w:r>
    </w:p>
    <w:p/>
    <w:p>
      <w:pPr>
        <w:pStyle w:val="Heading2"/>
      </w:pPr>
      <w:r>
        <w:rPr>
          <w:b/>
          <w:bCs/>
        </w:rPr>
        <w:t xml:space="preserve">Ementa</w:t>
      </w:r>
    </w:p>
    <w:p>
      <w:r>
        <w:t xml:space="preserve">Seção II Da Retenção e da Responsabilidade Solidária Art. 219. A empresa contratante de serviços executados mediante cessão ou empreitada de mão-de-obra, inclusive em regime de trabalho temporário, deverá reter onze por cento do valor bruto da nota fiscal, fatura ou recibo de prestação de serviços e recolher a importância retida em nome da empresa contratada, observado o disposto no § 5º do art. 216. (Redação dada pelo Decreto 4.729/2003) § 1º Exclusivamente para os fins deste Regulamento, entende-se como cessão de mão-de-obra a colocação à disposição do contratante, em suas dependências ou nas de terceiros, de segurados que realizem serviços contínuos, relacionados ou não com a atividade fim da empresa, independentemente da natureza e da forma de contratação, inclusive por meio de trabalho temporário na forma da Lei nº 6.019, de 3 de janeiro de 1974, entre outros. § 2º Enquadram-se na situação prevista no caput os seguintes serviços realizados mediante cessão de mão-de-obra: I - limpeza, conservação e zeladoria; II - vigilância e segurança; III - construção civil; IV - serviços rurais; V - digitação e preparação de dados para processamento; VI - acabamento, embalagem e acondicionamento de produtos; VII - cobrança; VIII - coleta e reciclagem de lixo e resíduos; IX - copa e hotelaria; X - corte e ligação de serviços públicos; XI - distribuição; XII - treinamento e ensino; XIII - entrega de contas e documentos; XIV - ligação e leitura de medidores; XV - manutenção de instalações, de máquinas e de equipamentos; XVI - montagem; XVII - operação de máquinas, equipamentos e veículos; XVIII - operação de pedágio e de terminais de transporte; XIX - operação de transporte de passageiros, inclusive nos casos d e concessão ou sub-concessão; (Redação dada pelo Decreto 4.729/2003) XX - portaria, recepção e ascensorista; XXI - recepção, triagem e movimentação de materiais; XXII - promoção de vendas e eventos; XXIII - secretaria e expediente; XXIV - saúde; e XXV - telefonia, inclusive telemarketing. § 3º Os serviços relacionados nos incisos I a V também estão sujeitos à retenção de que trata o caput quando contratados mediante empreitada de mão-de-obra. § 4º O valor retido de que trata este artigo deverá ser destacado na nota fiscal, fatura ou recibo de prestação de serviços, sendo compensado pelo respectivo estabelecimento da empresa contratada quando do recolhimento das contribuições destinadas à seguridade social devidas sobre a folha de pagamento dos segurados. § 5º O contratado deverá elaborar folha de pagamento e Guia de Recolhimento do Fundo de Garantia do Tempo de Serviço e Informações à Previdência Social distintas para cada estabelecimento ou obra de construção civil da empresa contratante do serviço. § 6º A empresa contratante do serviço deverá manter em boa guarda, em ordem cronológica e por contratada, as correspondentes notas fiscais, faturas ou recibos de prestação de serviços, Guias da Previdência Social e Guias de Recolhimento do Fundo de Garantia do Tempo de Serviço e Informações à Previdência Social com comprovante de entrega. § 7º Na contratação de serviços em que a contratada se obriga a fornecer material ou dispor de equipamentos, fica facultada ao contratado a discriminação, na nota fiscal, fatura ou recibo, do valor correspondente ao material ou equipamentos, que será excluído da retenção, desde que contratualmente previsto e devidamente comprovado. § 8º Cabe ao Instituto Nacional do Seguro Social normatizar a forma de apuração e o limite mínimo do valor do serviço contido no total da nota fiscal, fatura ou reci bo, quando, na hipótese do parágrafo anterior, não houver previsão contratual dos valores correspondentes a material ou a equipamentos. § 9º Na impossibilidade de haver compensação integral na própria competência, o saldo remanescente poderá ser compensado nas competências subseqüentes, inclusive na relativa à gratificação natalina, ou ser objeto de restituição, não sujeitas ao disposto no § 3º do art. 247. (Redação dada pelo Decreto 4.729/2003) § 10. Para fins de recolhimento e de compensação da importância retida, será considerada como competência aquela a que corresponder à data da emissão da nota fiscal, fatura ou recibo. § 11. As importâncias retidas não podem ser compensadas com contribuições arrecadadas pelo Instituto Nacional do Seguro Social para outras entidades. § 12º O percentual previsto no caput será acrescido de quatro, três ou dois pontos percentuais, relativamente aos serviços prestad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2026-07-28T00:35:33.534Z</dcterms:created>
  <dcterms:modified xsi:type="dcterms:W3CDTF">2026-07-28T00:35:33.534Z</dcterms:modified>
</cp:coreProperties>
</file>

<file path=docProps/custom.xml><?xml version="1.0" encoding="utf-8"?>
<Properties xmlns="http://schemas.openxmlformats.org/officeDocument/2006/custom-properties" xmlns:vt="http://schemas.openxmlformats.org/officeDocument/2006/docPropsVTypes"/>
</file>