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6.384 DE 27-02-2008</w:t>
      </w:r>
    </w:p>
    <w:p/>
    <w:p/>
    <w:p>
      <w:r>
        <w:t xml:space="preserve">24. REGULAMENTO DA PREVIDÊNCIA SOCIAL
      LIVRO III — DO CUSTEIO DA SEGURIDADE SOCIAL</w:t>
      </w:r>
    </w:p>
    <w:p/>
    <w:p>
      <w:pPr>
        <w:pStyle w:val="Heading2"/>
      </w:pPr>
      <w:r>
        <w:rPr>
          <w:b/>
          <w:bCs/>
        </w:rPr>
        <w:t xml:space="preserve">Ementa</w:t>
      </w:r>
    </w:p>
    <w:p>
      <w:r>
        <w:t xml:space="preserve">CAPÍTULO IX DA MATRÍCULA DA EMPRESA, DO PRODUTOR RURAL PESSOA FÍSICA E DO SEGURADO ESPECIAL (Redação dada pelo Decreto 6.722/2008). Art. 256. A matrícula da empresa será feita: I - simultaneamente com a inscrição no Cadastro Nacional da Pessoa Jurídica; ou II - perante o Instituto Nacional do Seguro Social, no prazo de trinta dias contados do início de suas atividades, quando não sujeita a inscrição no Cadastro Nacional da Pessoa Jurídica. § 1º Independentemente do disposto neste artigo, o Instituto Nacional do Seguro Social procederá à matrícula: I - de ofício, quando ocorrer omissão; e II - de obra de construção civil, mediante comunicação obrigatória do responsável por sua execução, no prazo do inciso II do caput. § 2º A unidade matriculada na forma do inciso II do caput e do § 1º receberá certificado de matrícula com número cadastral básico, de caráter permanente. § 3º O não cumprimento do disposto no inciso II do caput e no inciso II do § 1º sujeita o responsável à multa prevista no art. 283. § 4º O Departamento Nacional de Registro do Comércio, por intermédio das juntas comerciais, bem como os cartórios de registro civil de pessoas jurídicas, prestarão obrigatoriamente ao Instituto Nacional do Seguro Social todas as informações referentes aos atos constitutivos e alterações posteriores relativos a empresas neles registradas, sem ônus para o Instituto. § 5º São válidos perante o Instituto Nacional do Seguro Social os atos de constituição, alteração e extinção de empresa registrados nas juntas comerciais. § 6º O Ministério da Previdência e Assistência Social estabelecerá as condições em que o Departamento Nacional de Registro do Comércio, por intermédio das juntas comerciais, e os cartórios de registro civil de pessoas jurídicas cumprirão o disposto no § 4º. Art. 256-A. A matrícula atribuída pela Secretaria da Receita Federal do Brasil ao produtor rural pessoa física ou segurado especial é o documento de inscrição do contribuinte, em substituição à inscrição no Cadastro Nacional de Pessoa Jurídica - CNPJ, a ser apresentado em suas relações: (Incluído pelo Decreto 6.722/2008). I - com o Poder Público, inclusive para licenciamento sanitário de produtos de origem animal ou vegetal submetidos a processos de beneficiamento ou industrialização artesanal; (Incluído pelo Decreto 6.722/2008). II - com as instituições financeiras, para fins de contratação de operações de crédito; e (Incluído pelo Decreto 6.722/2008). III - com os adquirentes de sua produção ou fornecedores de sementes, insumos, ferramentas e demais implementos agrícolas. (Incluído pelo Decreto 6.722/2008). § 1º Para fins de recolhimento das contribuições previdenciárias, a matrícula de que trata o caput será atribuída ao grupo familiar no ato de sua inscrição. (Incluído pelo Decreto 6.722/2008). § 2º O disposto no caput não se aplica ao licenciamento sanitário de produtos sujeitos à incidência do IPI ou ao contribuinte cuja inscrição no CNPJ seja obrigatória. (Incluído pelo Decreto 6.722/2008). CAPÍTULO X DA PROVA DE INEXISTÊNCIA DE DÉBITO Art. 257. Deverá ser exigido documento comprobatório de inexistência de débito relativo às contribuições a que se referem os incisos I, III, IV, V, VI e VII do parágrafo único do art. 195, destinadas à manutenção da seguridade social, fornecida pelo órgão competente, nos seguintes casos: I - da empresa: a) na licitação, na contratação com o poder público e no recebimento de benefícios ou incentivo fiscal ou creditício concedidos por ele; b) na alienação ou oneração, a qualquer título, de bem imóvel ou direito a ele relativo; c) na alienação ou oneração, a qualquer título, de bem móvel de valor superior a R$ 15.904,18 (quinze mil n ovecentos e quatro reais e dezoito centavos) incorporado ao ativo permanente da empresa; e d) no registro ou arquivamento, no órgão próprio, de ato relativo a baixa ou redução de capital de firma individual, redução de capital social, cisão total ou parcial, transformação ou extinção de entidade ou sociedade comercial ou civil e transferência de controle de cotas de sociedades de responsabilidade limitada, suprida a exigência pela informação de inexistência de débito a ser prestada pelos órgãos competentes de que trata o § 10; II - do proprietário, pessoa física ou jurídica, de obra de construção civil, quando de sua averbação no Registro de Imóveis, salvo no caso do art. 278; III - do incorporador, na ocasião da inscrição de memorial de incorporação no Registro de Imóveis; IV - do produtor rur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2026-07-28T04:23:15.482Z</dcterms:created>
  <dcterms:modified xsi:type="dcterms:W3CDTF">2026-07-28T04:23:15.482Z</dcterms:modified>
</cp:coreProperties>
</file>

<file path=docProps/custom.xml><?xml version="1.0" encoding="utf-8"?>
<Properties xmlns="http://schemas.openxmlformats.org/officeDocument/2006/custom-properties" xmlns:vt="http://schemas.openxmlformats.org/officeDocument/2006/docPropsVTypes"/>
</file>