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6.384 DE 27-02-2008</w:t>
      </w:r>
    </w:p>
    <w:p/>
    <w:p/>
    <w:p>
      <w:r>
        <w:t xml:space="preserve">26. REGULAMENTO DA PREVIDÊNCIA SOCIAL
      LIVRO IV — DAS PENALIDADES EM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IV DAS PENALIDADES EM GERAL TÍTULO I DAS RESTRIÇÕES Art. 279. A empresa que transgredir as normas deste Regulamento, além de outras sanções previstas, sujeitar-se-á às seguintes restrições: I - suspensão de empréstimos e financiamentos, por instituições financeiras oficiais; II - revisão de incentivo fiscal de tratamento tributário especial; III - inabilitação para licitar e contratar com qualquer órgão ou entidade da administração pública direta ou indireta federal, estadual, do Distrito Federal ou municipal; IV - interdição para o exercício do comércio, se for sociedade mercantil ou comerciante individual; V - desqualificação para impetrar concordata; e VI - cassação de autorização para funcionar no País, quando for o caso. Art. 280. A empresa em débito para com a seguridade social não pode: I - distribuir bonificação ou dividendo a acionista; e II - dar ou atribuir cota ou participação nos lucros a sócio cotista, diretor ou outro membro de órgão dirigente, fiscal ou consultivo, ainda que a título de adiantamento. TÍTULO II DAS INFRAÇÕES E DAS PENALIDADES CAPÍTULO I DOS CRIMES Art. 281. (Revogado pelo Decreto 4.032/2001) CAPÍTULO II DA APREENSÃO DE DOCUMENTOS Art. 282. A seguridade social, por meio de seus órgãos competentes, promoverá a apreensão de comprovantes de arrecadação e de pagamento de benefícios, bem como de quaisquer documentos pertinentes, inclusive contábeis, mediante lavratura do competente termo, com a finalidade de apurar administrativamente a ocorrência dos crimes previstos em lei. Parágrafo único. O Instituto Nacional do Seguro Social e a Secretaria da Receita Federal estabelecerão normas específicas para: I - apreensão de comprovantes e demais documentos; II - apuração a dministrativa da ocorrência de crimes; III - devolução de comprovantes e demais documentos; IV - instrução do processo administrativo de apuração; V - encaminhamento do resultado da apuração referida no inciso IV à autoridade competente; e VI - acompanhamento de processo judicial. CAPÍTULO III DAS INFRAÇÕES Art. 283. Por infração a qualquer dispositivo das Leis nºs 8.212 e 8.213, ambas de 1991, e 10.666, de 8 de maio de 2003, para a qual não haja penalidade expressamente cominada neste Regulamento, fica o responsável sujeito a multa variável de R$ 636,17 (seiscentos e trinta e seis reais e dezessete centavos) a R$ 63.617,35 (sessenta e três mil, seiscentos e dezessete reais e trinta e cinco centavos), conforme a gravidade da infração, aplicando-se-lhe o disposto nos arts. 290 a 292, e de acordo com os seguintes valores: (Redação dada pelo Decreto 4.862/2003) I - a partir de R$ 636,17 (seiscentos e trinta e seis reais e dezessete centavos) nas seguintes infrações: a) deixar a empresa de preparar folha de pagamento das remunerações pagas, devidas ou creditadas a todos os segurados a seu serviço, de acordo com este Regulamento e com os demais padrões e normas estabelecidos pelo Instituto Nacional do Seguro Social; b) deixar a empresa de se matricular no Instituto Nacional do Seguro Social, dentro de trinta dias contados da data do início de suas atividades, quando não sujeita a inscrição no Cadastro Nacional da Pessoa Jurídica; c) deixar a empresa de descontar da remuneração paga aos segurados a seu serviço importância proveniente de dívida ou responsabilidade por eles contraída junto à seguridade social, relativa a benefícios pagos indevidamente; d) deixar a empresa de matricular no Instituto Nacional do Seguro Social obra de construção civil de sua propriedade ou executada sob sua responsabilidade no prazo de trinta dias do início das r espectivas atividades; e) deixar o Titular de Cartório de Registro Civil de Pessoas Naturais de comunicar ao Instituto Nacional do Seguro Social, até o dia dez de cada mês, a ocorrência ou a não-ocorrência de óbitos, no mês imediatamente anterior, bem como enviar informações inexatas, conforme o disposto no art. 228; f) deixar o dirigente dos órgãos municipais competentes de prestar ao Instituto Nacional do Seguro Social as informações concernentes aos alvarás, "habite-se" ou documento equivalente, relativos a construção civil, na forma do art. 226; e g) deixar a empresa de efetuar os descontos das contribuições devidas pelos segurados a seu serviço; (Redação dada pelo Decreto 4.862/2003) h) deixar a empresa de elaborar e manter atualizado perfil profissiográfico abrangendo as atividades desenvolvidas pelo trabalhador e de fornecer a este, quando da rescisão do contrato de trabalho, cópia au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2026-07-27T23:57:48.432Z</dcterms:created>
  <dcterms:modified xsi:type="dcterms:W3CDTF">2026-07-27T23:57:48.432Z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