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Recurso: </w:t>
      </w:r>
      <w:r>
        <w:t xml:space="preserve">MS 11.075</w:t>
      </w:r>
    </w:p>
    <w:p/>
    <w:p>
      <w:r>
        <w:t xml:space="preserve">NECESSIDADE DE PRÉVIA AUTORIZAÇÃO DO PRESIDENTE DA REPÚBLICA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necessária prévia autorização do Presidente da República para desapropriação, pelos Estados, de empresa de energia elétrica. Referência: - Decreto nº 24.643, de 10.07.34, artigo 168; - Dec.-Lei nº 5.764, de 19.08.43, artigo 1º, § 1º, e artigo 2º; - Decreto nº 41.019, de 26.02.57, artigo 93. MS 11.075, de 29.04.63 (D. de Just. de 06.06.63, p. 363); RE 52.625, de 23.08.63 (D. de Just. de 17.10.63, p. 1.030). Aprovada em Sessão de 13-12-1963 - pág. 86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2026-10-26T04:37:05.798Z</dcterms:created>
  <dcterms:modified xsi:type="dcterms:W3CDTF">2026-10-26T04:37:05.798Z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