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REsp 753207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FRANCISCO PEÇANHA MARTINS</w:t>
      </w:r>
    </w:p>
    <w:p/>
    <w:p>
      <w:r>
        <w:t xml:space="preserve">ATUALIZAÇÃO DOS CRÉDITOS TRIBUTÁRIOS — QUAL O ÍNDICE A SER APLICADO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 - No que toca à Taxa Selic, conquanto a considere ilegal, quando utilizada como fator de juros na correção do crédito tributário, não posso desconsiderar que a 1ª Seção do STJ já firmou orientação, unânime, em sentido contrário. - A propósito: "TRIBUTÁRIO - EXECUÇÃO FISCAL - EMBARGOS DO DEVEDOR - CRÉDITO EXEQÜENDO - ICMS NÃO RECOLHIDO CONFORME DECLARADO - TAXA SELIC - LEGALIDADE - PRECEDENTES. - A eg. Primeira Seção assentou o entendimento no sentido de que incidem os juros equivalentes à Taxa SELIC, a partir de 1º de janeiro de 1996, sobre os créditos tributários. - Recurso especial conhecido e provido." (REsp 753207 / MG ; Rel. Ministro FRANCISCO PEÇANHA MARTINS, DJ 21.11.2005). - Nesse rumo, embora em outros feitos tenha declarado a inconstitucionalidade da mencionada taxa, reposiciono-me quanto ao tema, curvando-me, assim, ao entendimento adotado pelo STJ sobre a possibilidade de se incidir sobre o crédito tributário os juros de mora pela taxa Selic, no intuito unicamente de se evitar o prejuízo às partes e demora na solução do processo, o que acaba por mitigar o princípio do livre convencimento do Magistrado. - Em razão do exposto, não havendo qualquer fundamento a ensejar a desconstituição da sentença, nego provimento recurso. Ac. de 17-06-2008 DJ de 07-08-2008 Jurisprudência Mineira. Ano 58. Nº 185, pág. 159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Seguindo a orientação unânime do STJ, é de se reconhecer a legitimidade da utilização da taxa SELIC, após 1996, como índice de juros de mora na atualização dos créditos tributários.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2026-10-26T03:52:33.002Z</dcterms:created>
  <dcterms:modified xsi:type="dcterms:W3CDTF">2026-10-26T03:52:33.002Z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