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>
      <w:r>
        <w:rPr>
          <w:b/>
          <w:bCs/>
        </w:rPr>
        <w:t xml:space="preserve">Julgado em: </w:t>
      </w:r>
      <w:r>
        <w:t xml:space="preserve">11/12/2005</w:t>
      </w:r>
    </w:p>
    <w:p/>
    <w:p>
      <w:r>
        <w:t xml:space="preserve">AÇÃO DE BUSCA E APREENSÃO — NOTIFICAÇÃO - CARTA REGISTRADA - COMPROVAÇÃO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provimento jurisdicional que determinar a busca e apreensão do bem deverá ser deferido liminarmente quando comprovada a mora ou o inadimplemento do devedor, conforme se verifica pelo disposto no referido dispositivo legal: "Art. 3º O proprietário fiduciário ou credor poderá requerer contra o devedor ou terceiro a busca e apreensão do bem alienado fiduciariamente, a qual será concedida liminarmente, desde que comprovada a mora ou inadimplemento do devedor." (sem grifos no original) - A mora decorrerá do simples vencimento do prazo para pagamento, e sua comprovação se dará por meio de carta registrada expedida por intermédio de Cartório de Títulos e Documentos. - É certo que a validade da notificação ao devedor não está condicionada a que seja realizada pessoalmente, bastando que tenha chegado ao endereço do devedor, o que se constata pelo respectivo aviso de recebimento. - Basta simplesmente que a correspondência seja entregue no seu endereço declarado no contrato, desde que não exista prova de sua mudança, antes da efetivação da notificação, conforme entendimento pacífico do Superior Tribunal de Justiça: "PROCESSO CIVIL. RECURSO ESPECIAL. AÇÃO DE BUSCA E APREENSÃO. ALIENAÇÃO FIDUCIÁRIA. COMPROVAÇÃO DA MORA. NOTIFICAÇÃO. AVISO DE RECEBIMENTO. MEIO HÁBIL. PRECEDENTES. 1 - A notificação de constituição do devedor em mora, feita com aviso de recebimento pelos Correios, desde que entregue no endereço do devedor, é meio hábil a subsidiar a ação de busca e apreensão. Precedentes. 2 - Recurso especial conhecido e provido." (REsp 771268 / PB, Rel. Ministro FERNANDO GONÇALVES - QUARTA TURMA - Julgado em 12/12/2005 - publicado DJ 01/02/2006 - extraído do site www.stj.gov.br) "Ação de busca e apreensão. Notificação por carta. Precedentes da Corte. 1. Na jurisprudência da Corte para comprovar a mora não é necessário intimação pessoal, basta que o aviso por carta seja entregue no endereço do devedor, não se exigindo que a assinatura constante do aviso seja a do próprio destinatário. No caso, porém, os endereços do contrato, da notificação e daquele em que efetivada a citação são diferentes tornando inadequada a aplicação da jurisprudência da Corte. 2. Recurso especial conhecido e provido." (REsp 676207 / RJ - Rel. Ministro CARLOS ALBERTO MENEZES DIREITO - TERCEIRA TURMA - julgado em 07/06/2006 - publicado DJ em 29/08/2005 - extraído do site www.stj.gov.br) "AÇÃO DE BUSCA E APREENSÃO. ALIENAÇÃO FIDUCIÁRIA. COMPROVAÇÃO DA MORA. NOTIFICAÇÃO VÁLIDA. AR. PURGAÇÃO DA MORA. SÚMULA 284 STF. AUSÊNCIA DE PREQUESTIONAMENTO. DEVOLUÇÃO E PARCELAS. CDC. MEIO INIDÔNEO. - Para a comprovação da mora é suficiente a notificação por Aviso de Recebimento (AR) entregue no endereço do devedor, não sendo exigido que a assinatura seja do próprio destinatário. Precedentes. - Não cabe discutir, em ação de busca e apreensão do bem entregue em alienação fiduciária, a devolução ou não das parcelas pagas." (REsp 343751 / DF - Rel. Ministro HUMBERTO GOMES DE BARROS - TERCEIRA TURMA - julgado em 05/20/2004 - publicado DJ em 01/03/2004 - extraído do site www.stj.gov.br) - No caso dos autos, conforme se infere pela análise dos documentos de fls. dos autos, o apelado foi devidamente constituído em mora. - A notificação procedida foi enviada ao endereço do apelado constante do documento do veículo (fls.) por intermédio do Cartório de registros de títulos e documentos da comarca de Cariacica - Espírito Santo. - Sob o argumento de que o cartório de Cariacica não tem competência para proceder a referida notificação do apelado, já que este reside em Barbacena, Minas Gerais, o MM. Juiz "a quo" indeferiu a inicial da presente ação de busca e apreensão, o que a meu ver, não parece razoável. - Em primeiro lugar porque o objetivo primordial desta notificação é justamente constituir o devedor em mora, dando-lhe ciência da inadimplência bem como dos efeitos práticos e jurídicos que esta inadimplência acarreta. Frise-se que isso foi perfeitamente cumprido na medida em que a notificação procedida foi entregue no endereço fornecido. - Em segundo lugar porque o tabel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provimento jurisdicional que determinar a busca e apreensão do bem deverá ser deferido liminarmente quando comprovada a mora ou o inadimplemento do devedor, mora que decorre do simples vencimento do prazo para pagamento e sua comprovação se dará por meio de carta registrada expedida por intermédio de Cartório de Títulos e Documentos. - Ainda que procedida por cartório localizado em local diverso ao do domicílio do devedor, a referida notificação é valida. Em primeiro lugar porque o objetivo primordial desta notificação é justamente constituir o devedor em mora, dando-lhe ciência da sua inadimplência bem como dos efeitos práticos e jurídicos que esta inadimplência acarreta. Em segundo lugar porque o tabelião não está excedendo os limites de sua circunscrição quando a notificação é expedida através de carta enviada e registrada pela empresa Brasileira de Correios e Telégrafos.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2026-10-26T02:41:22.893Z</dcterms:created>
  <dcterms:modified xsi:type="dcterms:W3CDTF">2026-10-26T02:41:22.893Z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