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r>
        <w:rPr>
          <w:b/>
          <w:bCs/>
        </w:rPr>
        <w:t xml:space="preserve">Recurso: </w:t>
      </w:r>
      <w:r>
        <w:t xml:space="preserve">AP .</w:t>
      </w:r>
    </w:p>
    <w:p/>
    <w:p>
      <w:r>
        <w:t xml:space="preserve">REGULAMENTO APROVADO PELO DECRETO 3.048/99 — FATOR ACIDENTÁRIO DE PREVENÇÃO - FAP -</w:t>
      </w:r>
    </w:p>
    <w:p/>
    <w:p>
      <w:pPr>
        <w:pStyle w:val="Heading2"/>
      </w:pPr>
      <w:r>
        <w:rPr>
          <w:b/>
          <w:bCs/>
        </w:rPr>
        <w:t xml:space="preserve">Ementa</w:t>
      </w:r>
    </w:p>
    <w:p>
      <w:r>
        <w:t xml:space="preserve">DECRETO Nº 6.957, DE 09 DE SETEMBRO DE 2009 Altera o Regulamento da Previdência Social, aprovado pelo Decreto nº 3.048, de 6 de maio de 1999, no tocante à aplicação, acompanhamento e avaliação do Fator Acidentário de Prevenção - FAP. O PRESIDENTE DA REPÚBLICA, no uso da atribuição que lhe confere o art. 84, inciso IV, da Constituição, e tendo em vista o disposto nas Leis nos 8.212, de 24 de julho de 1991, 8.213, de 24 de julho de 1991, e 11.430, de 26 de dezembro de 2006, DECRETA: Art. 1º Os arts. 202-A, 303, 305 e 337 do Regulamento da Previdência Social, aprovado pelo Decreto nº 3.048, de 6 de maio de 1999, passam a vigorar com as seguintes alterações: "Art. 202-A. ............................................. § 1º O FAP consiste num multiplicador variável num intervalo contínuo de cinco décimos (0,5000) a dois inteiros (2,0000), aplicado com quatro casas decimais, considerado o critério de arredondamento na quarta casa decimal, a ser aplicado à respectiva alíquota. § 2º Para fins da redução ou majoração a que se refere o caput, proceder-se-á à discriminação do desempenho da empresa, dentro da respectiva atividade econômica, a partir da criação de um índice composto pelos índices de gravidade, de frequência e de custo que pondera os respectivos percentis com pesos de cinquenta por cento, de trinta cinco por cento e de quinze por cento, respectivamente. ................................. § 4º ....................... I - para o índice de freqüência, os registros de acidentes e doenças do trabalho informados ao INSS por meio de Comunicação de Acidente do Trabalho - CAT e de benefícios acidentários estabelecidos por nexos técnicos pela perícia médica do INSS, ainda que sem CAT a eles vinculados; II - para o índice de gravidade, todos os casos de auxílio-doença, auxílio-acidente, aposentadoria por invalidez e pensão por morte, todos de natureza acidentária, aos quais são atribuídos pesos diferentes em razão da gravid ade da ocorrência, como segue: a) pensão por morte: peso de cinquenta por cento; b) aposentadoria por invalidez: peso de trinta por cento; e c) auxílio-doença e auxílio-acidente: peso de dez por cento para cada um; e III - para o índice de custo, os valores dos benefícios de natureza acidentária pagos ou devidos pela Previdência Social, apurados da seguinte forma: a) nos casos de auxílio-doença, com base no tempo de afastamento do trabalhador, em meses e fração de mês; e b) nos casos de morte ou de invalidez, parcial ou total, mediante projeção da expectativa de sobrevida do segurado, na data de início do benefício, a partir da tábua de mortalidade construída pela Fundação Instituto Brasileiro de Geografia e Estatística - IBGE para toda a população brasileira, considerando-se a média nacional única para ambos os sexos. § 5º O Ministério da Previdência Social publicará anualmente, sempre no mesmo mês, no Diário Oficial da União, os róis dos percentis de frequência, gravidade e custo por Subclasse da Classificação Nacional de Atividades Econômicas - CNAE e divulgará na rede mundial de computadores o FAP de cada empresa, com as respectivas ordens de freqüência, gravidade, custo e demais elementos que possibilitem a esta verificar o respectivo desempenho dentro da sua CNAE-Subclasse. ................................ § 7º Para o cálculo anual do FAP, serão utilizados os dados de janeiro a dezembro de cada ano, até completar o período de dois anos, a partir do qual os dados do ano inicial serão substituídos pelos novos dados anuais incorporados. § 8º Para a empresa constituída após janeiro de 2007, o FAP será calculado a partir de 1º de janeiro do ano ano seguinte ao que completar dois anos de constituição. § 9º Excepcionalmente, no primeiro processamento do FAP serão utilizados os dados de abril de 2007 a dezembro de 2008. § 10. A metodologia aprovada pelo Conselho Nacional de Previdência Social indicará a sistemática de cálculo e a forma de a plicação de índices e critérios acessórios à composição do índice composto do FAP." (NR) "Art. 303. ................ § 1º ........................ I - vinte e nove Juntas de Recursos, com competência para julgar, em primeira instância, os recursos interpostos contra as decisões prolatadas pelos órgãos regionais do INSS, em matéria de benefício administrado pela autarquia ou quanto a controvérsias relativas à apuração do FAP, a que se refere o art. 202-A, conforme sistemática a ser definida em ato conjunto dos Ministérios da Previdência Social e da Fazenda;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2026-07-28T06:59:26.685Z</dcterms:created>
  <dcterms:modified xsi:type="dcterms:W3CDTF">2026-07-28T06:59:26.685Z</dcterms:modified>
</cp:coreProperties>
</file>

<file path=docProps/custom.xml><?xml version="1.0" encoding="utf-8"?>
<Properties xmlns="http://schemas.openxmlformats.org/officeDocument/2006/custom-properties" xmlns:vt="http://schemas.openxmlformats.org/officeDocument/2006/docPropsVTypes"/>
</file>