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PARTIDO POLÍTICO</w:t>
      </w:r>
    </w:p>
    <w:p>
      <w:r>
        <w:rPr>
          <w:i/>
          <w:iCs/>
          <w:color w:val="666666"/>
        </w:rPr>
        <w:t xml:space="preserve">MANDADO DE SEGURANÇA COLETIVO</w:t>
      </w:r>
    </w:p>
    <w:p/>
    <w:p>
      <w:r>
        <w:rPr>
          <w:b/>
          <w:bCs/>
        </w:rPr>
        <w:t xml:space="preserve">Recurso: </w:t>
      </w:r>
      <w:r>
        <w:t xml:space="preserve">REsp 158.884/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Demócrito Reinaldo</w:t>
      </w:r>
    </w:p>
    <w:p/>
    <w:p>
      <w:r>
        <w:t xml:space="preserve">IMPUGNAÇÃO AO CUMPRIMENTO DA SENTENÇA — NOVA SISTEMÁTICA IMPOSTA PELA LEI 11.232/2005 -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a determinar se, na nova sistemática de execução estabelecida a partir da edição da Lei nº 11.232/05, há incidência de honorários advocatícios na impugnação ao cumprimento da sentença. - Na fundamentação deste julgado, restou consignado que: "(...) de acordo com a nova lei, que altera substancialmente o Código de Processo Civil, o arbitramento dos honorários de suc umbência limitar-se-ão àqueles arbitrados na fase de conhecimento, a não ser que sejam criados eventuais incidentes causados pelo devedor, o que será analisado caso a caso. (fls.) (...) Dessa forma, sendo a ação de execução de título judicial continuidade do processo de conhecimento, tenho que não é cabível a fixação de honorários advocatícios no caso de a mesma não ser impugnada, com ocorre no caso em discussão (...). Ora, não há cabimento em fixar verba honorária quando não existe sucumbência, não se fazendo necessária a fixação de honorários pelo douto Julgador a quo quando do despacho inicial da execução, uma vez que não se sabe se vai haver impugnação pelo devedor ou não (...)" (fls.) - Com efeito, as alterações perpetradas pela Lei nº 11.232/05 tiveram o escopo de unificar os processos de conhecimento e execução, tornando este último um mero desdobramento ou continuação daquele. Conforme anota LUIZ RODRIGUES WAMBIER, "hoje, o princípio do sincretismo entre cognição e execução predomina sobre o princípio da autonomia" (Sentença Civil: liquidação e cumprimento. São Paulo: RT, 2006, 3ª ed., p. 419). - Essa nova realidade foi materializada pela alteração da redação dos arts. 162, § 1º, 267, "caput", 269, "caput", e 463, "caput", todos do CPC; tudo para evidenciar que o processo não se esgota, necessariamente, com a declaração do direito, de modo que a função jurisdicional somente estará encerrada com a efetiva satisfação desse direito, ou seja, a realização prática daquilo que foi reconhecido na sentença. - Entretanto, o fato de se ter alterado a natureza da execução de sentença, que deixou de ser tratada como processo autônomo e passou a ser mera fase complementar do mesmo processo em que o provimento é assegurado, não traz nenhuma modificação no que tange aos honorários advocatícios. - A idéia de que havendo um só processo só pode haver uma fixação de verba honorária foi construída em uma época em que o CPC albergava o modelo liebmaniano da separação entre os processos de cognição e execução, e não pode ser simplesmente transplantada para a nova sistemática imposta pela Lei nº 11.232/05. - Aliás, a própria interpretação literal do art. 20, § 4º, do CPC não deixa margem para dúvidas. Consoante expressa dicção do referido dispositivo legal, os honorários são devidos "nas execuções, embargadas ou não". - No julgamento do EREsp 158.884/RS, Rel. Min. Demócrito Reinaldo, Rel. p/ acórdão Min. Humberto Gomes de Barros, DJ de 30.04.2001, a Corte Especial deste Tribunal decidiu que a redação do art. 20, § 4º, do CPC, "deixa induvidoso o cabimento de honorários de advogado em execução mesmo não embargada, não fazendo a lei, para esse fim, distinção entre execução fundada em título judicial ou execução fundada em título extrajudicial". - Confrontando esse precedente com as inovações da Lei nº 11.232/05, o Min. ATHOS GUSMÃO CARNEIRO ressalta que "esta orientação jurisprudencial permanece mesmo sob a nova sistemática de cumprimento da sentença, porquanto irrelevante, sob este aspecto, que a execução passe a ser realizada em 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se ter alterado a natureza da execução de sentença, que deixou de ser tratada como processo autônomo e passou a ser mera fase complementar do mesmo processo em que o provimento é assegurado, não traz nenhuma modificação no que tange aos honorários advocatícios. - A própria interpretação literal do art. 20, § 4º, do CPC não deixa margem para dúvidas. Consoante expressa dicção do referido dispositivo legal, os honorários são devidos "nas execuções, embargadas ou não". - O art. 475-I, do CPC, é expresso em afirmar que o cumprimento da sentença, nos casos de obrigação pecuniária, se faz por execução. Ora, se haverá arbitramento de honorários na execução (art. 20, § 4º, do CPC) e se o cumprimento da sentença se faz por execução (art. 475, I, do CPC), outra conclusão não é possível, senão a de que haverá a fixação de verba honorária na fase de cumprimento da sentença. - Ademais, a verba honorária fixada na fase de cognição leva em consideração apenas o trabalho realizado pelo advogado até então. - Por derradeiro, também na fase de cumprimento de sentença, há de se considerar o próprio espírito condutor das alterações pretendidas com a Lei nº 11.232/05, em especial a multa de 10% prevista no art. 475-J do CPC. De nada adiantaria a criação de uma multa de 10% sobre o valor da condenação para o devedor que não cumpre voluntariamente a sentença se, de outro lado, fosse eliminada a fixação de verba honorária, arbitrada no percentual de 10% a 20%, também sobre o valor da condenação.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2026-10-26T02:46:07.729Z</dcterms:created>
  <dcterms:modified xsi:type="dcterms:W3CDTF">2026-10-26T02:46:07.729Z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