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PARTIDO POLÍTICO</w:t>
      </w:r>
    </w:p>
    <w:p>
      <w:r>
        <w:rPr>
          <w:i/>
          <w:iCs/>
          <w:color w:val="666666"/>
        </w:rPr>
        <w:t xml:space="preserve">MANDADO DE SEGURANÇA COLETIVO</w:t>
      </w:r>
    </w:p>
    <w:p/>
    <w:p>
      <w:r>
        <w:rPr>
          <w:b/>
          <w:bCs/>
        </w:rPr>
        <w:t xml:space="preserve">Recurso: </w:t>
      </w:r>
      <w:r>
        <w:t xml:space="preserve">REsp 158.884/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Demócrito Reinaldo</w:t>
      </w:r>
    </w:p>
    <w:p/>
    <w:p>
      <w:r>
        <w:t xml:space="preserve">IMPUGNAÇÃO AO CUMPRIMENTO DA SENTENÇA — NOVA SISTEMÁTICA IMPOSTA PELA LEI 11.232/2005 -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a controvérsia a determinar se, na nova sistemática de execução estabelecida a partir da edição da Lei nº 11.232/05, há incidência de honorários advocatícios na impugnação ao cumprimento da sentença. - Na fundamentação deste julgado, restou consignado que: "(...) de acordo com a nova lei, que altera substancialmente o Código de Processo Civil, o arbitramento dos honorários de suc umbência limitar-se-ão àqueles arbitrados na fase de conhecimento, a não ser que sejam criados eventuais incidentes causados pelo devedor, o que será analisado caso a caso. (fls.) (...) Dessa forma, sendo a ação de execução de título judicial continuidade do processo de conhecimento, tenho que não é cabível a fixação de honorários advocatícios no caso de a mesma não ser impugnada, com ocorre no caso em discussão (...). Ora, não há cabimento em fixar verba honorária quando não existe sucumbência, não se fazendo necessária a fixação de honorários pelo douto Julgador a quo quando do despacho inicial da execução, uma vez que não se sabe se vai haver impugnação pelo devedor ou não (...)" (fls.) - Com efeito, as alterações perpetradas pela Lei nº 11.232/05 tiveram o escopo de unificar os processos de conhecimento e execução, tornando este último um mero desdobramento ou continuação daquele. Conforme anota LUIZ RODRIGUES WAMBIER, "hoje, o princípio do sincretismo entre cognição e execução predomina sobre o princípio da autonomia" (Sentença Civil: liquidação e cumprimento. São Paulo: RT, 2006, 3ª ed., p. 419). - Essa nova realidade foi materializada pela alteração da redação dos arts. 162, § 1º, 267, "caput", 269, "caput", e 463, "caput", todos do CPC; tudo para evidenciar que o processo não se esgota, necessariamente, com a declaração do direito, de modo que a função jurisdicional somente estará encerrada com a efetiva satisfação desse direito, ou seja, a realização prática daquilo que foi reconhecido na sentença. - Entretanto, o fato de se ter alterado a natureza da execução de sentença, que deixou de ser tratada como processo autônomo e passou a ser mera fase complementar do mesmo processo em que o provimento é assegurado, não traz nenhuma modificação no que tange aos honorários advocatícios. - A idéia de que havendo um só processo só pode haver uma fixação de verba honorária foi construída em uma época em que o CPC albergava o modelo liebmaniano da separação entre os processos de cognição e execução, e não pode ser simplesmente transplantada para a nova sistemática imposta pela Lei nº 11.232/05. - Aliás, a própria interpretação literal do art. 20, § 4º, do CPC não deixa margem para dúvidas. Consoante expressa dicção do referido dispositivo legal, os honorários são devidos "nas execuções, embargadas ou não". - No julgamento do EREsp 158.884/RS, Rel. Min. Demócrito Reinaldo, Rel. p/ acórdão Min. Humberto Gomes de Barros, DJ de 30.04.2001, a Corte Especial deste Tribunal decidiu que a redação do art. 20, § 4º, do CPC, "deixa induvidoso o cabimento de honorários de advogado em execução mesmo não embargada, não fazendo a lei, para esse fim, distinção entre execução fundada em título judicial ou execução fundada em título extrajudicial". - Confrontando esse precedente com as inovações da Lei nº 11.232/05, o Min. ATHOS GUSMÃO CARNEIRO ressalta que "esta orientação jurisprudencial permanece mesmo sob a nova sistemática de cumprimento da sentença, porquanto irrelevante, sob este aspecto, que a execução passe a ser realizada em 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se ter alterado a natureza da execução de sentença, que deixou de ser tratada como processo autônomo e passou a ser mera fase complementar do mesmo processo em que o provimento é assegurado, não traz nenhuma modificação no que tange aos honorários advocatícios. - A própria interpretação literal do art. 20, § 4º, do CPC não deixa margem para dúvidas. Consoante expressa dicção do referido dispositivo legal, os honorários são devidos "nas execuções, embargadas ou não". - O art. 475-I, do CPC, é expresso em afirmar que o cumprimento da sentença, nos casos de obrigação pecuniária, se faz por execução. Ora, se haverá arbitramento de honorários na execução (art. 20, § 4º, do CPC) e se o cumprimento da sentença se faz por execução (art. 475, I, do CPC), outra conclusão não é possível, senão a de que haverá a fixação de verba honorária na fase de cumprimento da sentença. - Ademais, a verba honorária fixada na fase de cognição leva em consideração apenas o trabalho realizado pelo advogado até então. - Por derradeiro, também na fase de cumprimento de sentença, há de se considerar o próprio espírito condutor das alterações pretendidas com a Lei nº 11.232/05, em especial a multa de 10% prevista no art. 475-J do CPC. De nada adiantaria a criação de uma multa de 10% sobre o valor da condenação para o devedor que não cumpre voluntariamente a sentença se, de outro lado, fosse eliminada a fixação de verba honorária, arbitrada no percentual de 10% a 20%, também sobre o valor da condenação.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2026-06-17T14:19:30.946Z</dcterms:created>
  <dcterms:modified xsi:type="dcterms:W3CDTF">2026-06-17T14:19:30.946Z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