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IOF</w:t>
      </w:r>
    </w:p>
    <w:p>
      <w:r>
        <w:rPr>
          <w:i/>
          <w:iCs/>
          <w:color w:val="666666"/>
        </w:rPr>
        <w:t xml:space="preserve">OPERAÇÕES DE CÂMBIO</w:t>
      </w:r>
    </w:p>
    <w:p/>
    <w:p/>
    <w:p>
      <w:r>
        <w:t xml:space="preserve">04. REGULAMENTA O IMPOSTO SOBRE OPERAÇÕES DE CRÉDITO, CÂMBIO E SEGURO, OU RELATIVAS A TÍTULOS OU VALORES MOBILIÁRIOS — IOF</w:t>
      </w:r>
    </w:p>
    <w:p/>
    <w:p>
      <w:pPr>
        <w:pStyle w:val="Heading2"/>
      </w:pPr>
      <w:r>
        <w:rPr>
          <w:b/>
          <w:bCs/>
        </w:rPr>
        <w:t xml:space="preserve">Ementa</w:t>
      </w:r>
    </w:p>
    <w:p>
      <w:r>
        <w:t xml:space="preserve">TÍTULO VI DA INCIDÊNCIA SOBRE OPERAÇÕES COM OURO, ATIVO FINANCEIRO, OU INSTRUMENTO CAMBIAL CAPÍTULO I DO FATO GERADOR Art. 36. O ouro, ativo financeiro, ou instrumento cambial sujeita-se, exclusivamente, à incidência do IOF (Lei nº 7.766, de 1989, art. 4º). § 1º Entende-se por ouro, ativo financeiro, ou instrumento cambial, desde sua extração, inclusive, o ouro que, em qualquer estado de pureza, em bruto ou refinado, for destinado ao mercado financeiro ou à execução da política cambial do País, em operação realizada com a interveniência de instituição integrante do Sistema Financeiro Nacional, na forma e condições autorizadas pelo Banco Central do Brasil. § 2º Enquadra-se na definição do § 1º deste artigo o ouro: I - envolvido em operações de tratamento, refino, transporte, depósito ou custódia, desde que formalizado compromisso de destiná-lo ao Banco Central do Brasil ou à instituição por ele autorizada; II - adquirido na região de garimpo, onde o ouro é extraído, desde que, na saída do Município, tenha o mesmo destino a que se refere o inciso I; III - importado, com interveniência das instituições mencionadas no inciso I. § 3º O fato gerador do IOF é a primeira aquisição do ouro, ativo financeiro, ou instrumento cambial, efetuada por instituição autorizada integrante do Sistema Financeiro Nacional (Lei nº 7.766, de 1989, art. 8º). § 4º Ocorre o fato gerador e torna-se devido o IOF: I - na data da aquisição; II - no desembaraço aduaneiro, quando se tratar de ouro físico oriundo do exterior. CAPÍTULO II DOS CONTRIBUINTES Art. 37. Contribuintes do IOF são as instituições autorizadas pelo Banco Central do Brasil que efetuarem a primeira aquisição do ouro, ativo financeiro, ou instrumento cambial (Lei nº 7.766, de 1989, art. 10). CAPÍTULO III DA BASE DE CÁLCULO E DA ALÍQUOTA Da Base de Cálculo Art. 38. A base de cálculo do IOF é o preço de aquisição do ouro, desde que dentro dos limites de variação da cotação vigente no mercado doméstico, no dia da operação (Lei nº 7.766, de 1989, art. 9º). Parágrafo único. Tratando-se de ouro físico, oriundo do exterior, o preço de aquisição, em moeda nacional, será determinado com base no valor de mercado doméstico na data do desembaraço aduaneiro. Da Alíquota Art. 39. A alíquota do IOF é de um por cento sobre o preço de aquisição (Lei nº 7.766, de 1989, art. 4º, parágrafo único). CAPÍTULO IV DA COBRANÇA E DO RECOLHIMENTO Art. 40. O IOF será cobrado na data da primeira aquisição do ouro, ativo financeiro, efetuada por instituição financeira, integrante do Sistema Financeiro Nacional (Lei nº 7.766, de 1989, art. 8º). § 1º O IOF deve ser recolhido ao Tesouro Nacional até o terceiro dia útil subseqüente ao decêndio de ocorrência dos fatos geradores (Lei nº 11.196, de 2005, art. 70, inciso II, alínea "a"). § 2º O recolhimento do IOF deve ser efetuado no Município produtor ou no Município em que estiver localizado o estabelecimento-matriz do contribuinte, devendo ser indicado, no documento de arrecadação, o Estado ou o Distrito Federal e o Município, conforme a origem do ouro (Lei nº 7.766, de 1989, art. 12). § 3º Tratando-se de ouro oriundo do exterior, considera-se Município e Estado de origem o de ingresso do ouro no País (Lei nº 7.766, de 1989, art. 6º). § 4º A pessoa jurídica adquirente fará constar da nota de aquisição o Estado ou o Distrito Federal e o Município de origem do ouro (Lei nº 7.766, de 1989, art. 7º). TÍTULO VII DAS DISPOSIÇÕES GERAIS E FINAIS CAPÍTULO I DAS OBRIGAÇÕES ACESSÓRIAS Manutenção de Informações Art. 41. As pessoas jurídicas que efetuarem operações sujeitas à incidência do IOF devem manter à disposição da fiscalização, pelo prazo prescricional, as seguin tes informações: I - relação diária das operações tributadas, com elementos identificadores da operação (beneficiário, espécie, valor e prazo) e o somatório diário do tributo; II - relação diária das operações isentas ou tributadas à alíquota zero, com elementos identificadores da operação (beneficiário, espécie, valor e prazo); III - relação mensal dos empréstimos em conta, inclusive excessos de limite, de prazo de até trezentos e sessenta e quatro dias, tributados com base no somatório dos saldos devedores diários, apurado no último dia de cada mês, contendo nome do beneficiário, somatório e valor do IOF cobrado; IV - relação mensal dos adiantamentos a depositantes, contendo nome do devedor, valor e data de cada parcela tributada e valor do IOF cobrado; V - relação mensal dos excessos de limite, relativos aos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2026-06-17T15:23:33.614Z</dcterms:created>
  <dcterms:modified xsi:type="dcterms:W3CDTF">2026-06-17T15:23:33.614Z</dcterms:modified>
</cp:coreProperties>
</file>

<file path=docProps/custom.xml><?xml version="1.0" encoding="utf-8"?>
<Properties xmlns="http://schemas.openxmlformats.org/officeDocument/2006/custom-properties" xmlns:vt="http://schemas.openxmlformats.org/officeDocument/2006/docPropsVTypes"/>
</file>