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5.869 DE 11-01-1973</w:t>
      </w:r>
    </w:p>
    <w:p/>
    <w:p/>
    <w:p>
      <w:r>
        <w:t xml:space="preserve">ART 2º DA LEI 11.337/2006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12.119, DE 15 DE DEZEMBRO DE 2009 Altera o art. 2º da Lei nº 11.337, de 26 de julho de 2006, para melhor detalhar a abrangência da exigência nele contida e para adequar a nomenclatura empregada aos padrões técnicos estabelecidos. O VICE - PRESIDENTE DA REPÚBLICA, no exercício do cargo de PRESIDENTE DA REPÚBLICA Faço saber que o Congresso Nacional decreta e eu sanciono a seguinte Lei: Art. 1º O art. 2º da Lei nº 11.337, de 26 de julho de 2006, passa a vigorar com a seguinte redação: "Art. 2º Os aparelhos elétricos e eletrônicos, com carcaça metálica comercializados no País, enquadrados na classe I, em conformidade com as normas técnicas brasileiras pertinentes, deverão dispor de condutor terra de proteção e do respectivo plugue, também definido em conformidade com as normas técnicas brasileiras. Parágrafo único. O disposto neste artigo entra em vigor a partir de 1º de janeiro de 2010." (NR) Art. 2º Esta Lei entra em vigor na data de sua publicação. Brasília, 15 de dezembro de 2009; 188º da Independência e 121º da República. JOSÉ ALENCAR GOMES DA SILVA Miguel Jorge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2026-06-17T14:06:51.235Z</dcterms:created>
  <dcterms:modified xsi:type="dcterms:W3CDTF">2026-06-17T14:06:51.235Z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