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CÓDIGO DE PROCESSO CIVIL</w:t>
      </w:r>
    </w:p>
    <w:p>
      <w:r>
        <w:rPr>
          <w:i/>
          <w:iCs/>
          <w:color w:val="666666"/>
        </w:rPr>
        <w:t xml:space="preserve">LEI 5.869 DE 11-01-1973</w:t>
      </w:r>
    </w:p>
    <w:p/>
    <w:p/>
    <w:p>
      <w:r>
        <w:t xml:space="preserve">DECRETO 6.759 DE 05-02-2009 — ALTERA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DECRETO Nº 7.044, DE 22 DE DEZEMBRO DE 2009 Altera o Decreto nº 6.759, de 5 de fevereiro de 2009, que regulamenta a administração das atividades aduaneiras, e a fiscalização, o controle e a tributação das operações de comércio exterior. O PRESIDENTE DA REPÚBLICA, no uso da atribuição que lhe confere o art. 84, inciso IV, da Constituição, DECRETA: Art. 1º Os arts. 174, 246 e 305 do Decreto nº 6.759, de 5 de fevereiro de 2009, passam a vigorar com a seguinte redação: "Art. 174. A isenção do imposto, na importação de partes, peças e componentes, será reconhecida aos bens destinados a reparo, revisão ou manutenção de aeronaves e de embarcações. § 1º Para cumprimento do disposto no caput, o importador deverá fazer prova da posse ou propriedade da aeronave ou embarcação. § 2º Na hipótese de a importação ser promovida por oficina especializada em reparo, revisão ou manutenção de aeronaves, esta deverá: I - apresentar contrato de prestação de serviços, indicando o proprietário ou possuidor da aeronave; e II - estar homologada pelo órgão competente do Ministério da Defesa." (NR) "Art. 246. ................ ................................. § 2º O disposto neste artigo aplica-se, também, à empresa comercial atacadista adquirente dos produtos resultantes da industrialização por encomenda a que se refere o art. 427 (Lei nº 9.826, de 1999, art. 5º, § 6º, com a redação dada pela Lei nº 10.865, de 2004, art. 33)." (NR) "Art. 305. São isentos da CIDE-Combustíveis os bens dos tipos e em quantidades normalmente consumidos em evento esportivo oficial (Lei nº 11.488, de 2007, art. 38, inciso II). Parágrafo único. A isenção de que trata o caput somente será concedida se satisfeitos os termos, limites e condições estabelecidos nos arts. 183 a 185, no que couberem (Lei nº 11.488, de 2007, art. 38, caput)." (NR) Art. 2º Este Decreto entra em vigor na data de sua publicação, produzindo efeitos a partir de 6 de f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2026-09-11T00:26:45.885Z</dcterms:created>
  <dcterms:modified xsi:type="dcterms:W3CDTF">2026-09-11T00:26:45.885Z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