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RESTABELECIMENTO DE BENEFÍCIO</w:t>
      </w:r>
    </w:p>
    <w:p/>
    <w:p/>
    <w:p>
      <w:r>
        <w:t xml:space="preserve">02. SUPERINTENDÊNCIA NACIONAL DE PREVIDÊNCIA COMPLEMENTAR — PREVIC - CRIA</w:t>
      </w:r>
    </w:p>
    <w:p/>
    <w:p>
      <w:pPr>
        <w:pStyle w:val="Heading2"/>
      </w:pPr>
      <w:r>
        <w:rPr>
          <w:b/>
          <w:bCs/>
        </w:rPr>
        <w:t xml:space="preserve">Ementa</w:t>
      </w:r>
    </w:p>
    <w:p>
      <w:r>
        <w:t xml:space="preserve">Art. 30. As metas de desempenho institucional serão fixadas anualmente em ato da Diretoria Colegiada da Previc. § 1º As metas referidas no caput devem ser objetivamente mensuráveis e diretamente relacionadas às atividades da Previc, levando-se em conta, no momento de sua fixação, os índices alcançados nos exercícios anteriores, quando houver histórico. § 2º As metas de desempenho institucional e os resultados apurados a cada período serão amplamente divulgados pela Previc, inclusive no seu sítio eletrônico. § 3º As metas poderão ser revistas na hipótese de superveniência de fatores que tenham influência significativa e direta na sua consecução, desde que a própria entidade não tenha dado causa a tais fatores. § 4º O ato a que se refere o art. 29 definirá o percentual mínimo de alcance das metas abaixo do qual as parcelas da GDAPREVIC e da GDCPREVIC correspondente à avaliação institucional serão iguais a zero, sendo os percentuais de gratificação distribuídos proporcionalmente no intervalo entre esse limite e o índice máximo de alcance das metas. Art. 31. As avaliações referentes aos desempenhos individual e institucional serão apuradas anualmente e produzirão efeitos financeiros mensais por igual período. § 1º O primeiro ciclo de avaliações de desempenho individual e institucional implementado a partir da publicação desta Lei poderá ter sua duração reduzida em função das peculiaridades da Previc, mediante ato da sua Diretoria Colegiada. § 2º As referidas avaliações serão processadas no mês subsequente ao término do período avaliativo, e seus efeitos financeiros iniciarão no mês seguinte ao de processamento das avaliações. Art. 32. Até que sejam regulamentados os critérios e procedimentos de aferição das avaliações de desempenho e processados os resultados do primeiro período de avaliação de desempenho, para fins de atribuição da GDAPREVIC e da GDCPREVIC, o valor devido de paga mento mensal por servidor ativo será correspondente a 80 (oitenta) pontos, observados os respectivos cargos, níveis, classes e padrões. § 1º O resultado da primeira avaliação de desempenho gerará efeitos financeiros a partir do início do primeiro ciclo de avaliação, devendo ser compensadas eventuais diferenças pagas a maior ou a menor. § 2º Em caso de afastamentos e licenças considerados como de efetivo exercício, sem prejuízo da remuneração e com direito à percepção de gratificação de desempenho, o servidor continuará percebendo a GDAPREVIC ou GDCPREVIC em valor correspondente ao da última pontuação obtida, até que seja processada a sua primeira avaliação após o retorno. § 3º O disposto no § 2º não se aplica aos casos de cessão. § 4º O disposto neste artigo aplica-se ao ocupante de cargo de Natureza Especial e de cargos em comissão. Art. 33. Até que seja processada a sua primeira avaliação de desempenho individual que venha a surtir efeito financeiro, o servidor nomeado para cargo efetivo e aquele que tenha retornado de licença sem vencimento ou cessão sem direito à percepção da GDAPREVIC ou da GDCPREVIC no decurso do ciclo de avaliação receberá a gratificação no valor correspondente a 80 (oitenta) pontos. Art. 34. O titular de cargo efetivo do PCCPREVIC em efetivo exercício na Previc, quando investido em cargo em comissão de Natureza Especial ou do Grupo-Direção e Assessoramento Superiores-DAS, níveis 6, 5, 4 ou equivalentes, fará jus à GDAPREVIC ou à GDCPREVIC calculada com base no valor máximo da parcela individual, somado ao resultado da avaliação institucional do período. Parágrafo único. Ocorrendo exoneração do cargo em comissão, com manutenção do cargo efetivo, o servidor que faça jus à GDAPREVIC ou à GDCPREVIC continuará a perceber a respectiva gratificação de desempenho em valor correspondente ao da última pontuação atribuída, até que seja processada a sua primeira avaliação após a exoneração. Art. 35. O ocupante de cargo efetivo do PCCPREVIC que não se encontre desenvolvendo atividades na PREVIC somente fará jus à GDAPREVIC ou GDCPREVIC: I - quando cedido para a Presidência, Vice-Presidência da República, Ministério da Previdência Social ou requisitado para órgão da Justiça Eleitoral, situação na qual perceberá a respectiva gratificação de desempenho calculada com base nas regras aplicáveis como se estivesse em efetivo exercício na Previc; II - quando cedido para órgãos ou entidades do Governo Federal distintos dos indicados no inciso I, o servidor investido em cargo em comissão de Natureza Especial, DAS-6, DAS-5, DAS-4 ou equivalent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2026-07-28T00:21:08.892Z</dcterms:created>
  <dcterms:modified xsi:type="dcterms:W3CDTF">2026-07-28T00:21:08.892Z</dcterms:modified>
</cp:coreProperties>
</file>

<file path=docProps/custom.xml><?xml version="1.0" encoding="utf-8"?>
<Properties xmlns="http://schemas.openxmlformats.org/officeDocument/2006/custom-properties" xmlns:vt="http://schemas.openxmlformats.org/officeDocument/2006/docPropsVTypes"/>
</file>