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579.648</w:t>
      </w:r>
    </w:p>
    <w:p/>
    <w:p>
      <w:r>
        <w:t xml:space="preserve">23. COMPETÊNCIA — DIREITO DE GREVE - TRABALHADORES DA INICIATIVA PRIVADA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23 A JUSTIÇA DO TRABALHO É COMPETENTE PARA PROCESSAR E JULGAR AÇÃO POSSESSÓRIA AJUIZADA EM DECORRÊNCIA DO EXERCÍCIO DO DIREITO DE GREVE PELOS TRABALHADORES DA INICIATIVA PRIVADA. Referência Legislativa: - Constituição Federal de 1988, art. 114, II. Precedentes: RE 579.648 Publicação: DJe nº 43, em 06-03-2009 CJ 6.959 Publicação: DJ de 22-02-1991 RE 238.737 Publicação: DJ de 05-02-1999 AI 611.670 Publicação: DJ de 07-02-2007 AI 598.457 Publicação: DJ de 10-11-1991 RE 555.075 Publicação: DJe nº 213, em 11-11-2008 RE 576.803 Publicação: DJe nº 35, em 28-02-2008 Observação: Embora na publicação da Súmula Vinculante 23 conste como precedente o CC 6.959, trata-se do CJ 6.959 (DJ de 22-02-1991). Data de Aprovação: Sessão Plenária de 02-12-2009 DJe nº 232/2009, pág. 001, em 11-12-2009. DOU de 11-12-2009, pág. 001.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2026-10-26T02:43:55.763Z</dcterms:created>
  <dcterms:modified xsi:type="dcterms:W3CDTF">2026-10-26T02:43:55.763Z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