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1067903</w:t>
      </w:r>
    </w:p>
    <w:p/>
    <w:p>
      <w:r>
        <w:t xml:space="preserve">DESCUMPRIMENTO — COBRANÇA - PRÉVIA INTIMAÇÃO PESSOAL DO DEVEDOR -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prévia intimação pessoal do devedor constitui condição necessária para a cobrança de multa pelo descumprimento de obrigação de fazer ou não fazer. Referência Legislativa: - Art. 632 da Lei 5.869/1973, Código de Processo Civil de 1973 Precedentes: AGA 1046050 RS 2008/0098736-8 DECISÃO:06/11/2008 DJE DATA:24/11/2008 ADRESP 1067903 RS 2008/0138885-6 DECISÃO:21/10/2008 DJE DATA:18/11/2008 AGRESP 993209 SE 2007/0232037-8 DECISÃO:18/03/2008 DJE DATA:04/04/2008 REPDJE DATA:12/05/2008 RESP 629346 DF 2004/0018906-6 DECISÃO:28/11/2006 DJ DATA:19/03/2007 PG:00319 RSTJ VOL.:00212 PG:00359 AGA 774196 RJ 2006/0102641-9 DECISÃO:19/09/2006 DJ DATA:09/10/2006 PG:00294 Data do Julgamento: 25-11-2009 DJ de 16-12-2009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2026-07-28T02:21:58.187Z</dcterms:created>
  <dcterms:modified xsi:type="dcterms:W3CDTF">2026-07-28T02:21:58.187Z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