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1067903</w:t>
      </w:r>
    </w:p>
    <w:p/>
    <w:p>
      <w:r>
        <w:t xml:space="preserve">DESCUMPRIMENTO — COBRANÇA - PRÉVIA INTIMAÇÃO PESSOAL DO DEVEDOR -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prévia intimação pessoal do devedor constitui condição necessária para a cobrança de multa pelo descumprimento de obrigação de fazer ou não fazer. Referência Legislativa: - Art. 632 da Lei 5.869/1973, Código de Processo Civil de 1973 Precedentes: AGA 1046050 RS 2008/0098736-8 DECISÃO:06/11/2008 DJE DATA:24/11/2008 ADRESP 1067903 RS 2008/0138885-6 DECISÃO:21/10/2008 DJE DATA:18/11/2008 AGRESP 993209 SE 2007/0232037-8 DECISÃO:18/03/2008 DJE DATA:04/04/2008 REPDJE DATA:12/05/2008 RESP 629346 DF 2004/0018906-6 DECISÃO:28/11/2006 DJ DATA:19/03/2007 PG:00319 RSTJ VOL.:00212 PG:00359 AGA 774196 RJ 2006/0102641-9 DECISÃO:19/09/2006 DJ DATA:09/10/2006 PG:00294 Data do Julgamento: 25-11-2009 DJ de 16-12-2009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2026-10-26T03:08:34.454Z</dcterms:created>
  <dcterms:modified xsi:type="dcterms:W3CDTF">2026-10-26T03:08:34.454Z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