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/>
    <w:p>
      <w:r>
        <w:t xml:space="preserve">ARTS. 40, 57 E 110 DA LEI 6.015 DE 31-12-1973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12.100 DE 27 DE NOVEMBRO DE 2009 Dá nova redação aos arts. 40, 57 e 110 da Lei nº 6.015, de 31 de dezembro de 1973, que dispõe sobre os registros públicos e dá outras providências. O PRESIDENTE DA REPÚBLICA Faço saber que o Congresso Nacional decreta e eu sanciono a seguinte Lei: Art. 1º Esta Lei altera a Lei nº 6.015, de 31 de dezembro de 1973, com o objetivo de permitir, em caso de erros que não exijam qualquer indagação para a constatação imediata de necessidade de sua correção, a retificação extrajudicial de registro de assentamento civil. Art. 2º Os arts. 40, 57 e 110 da Lei nº 6.015, de 31 de dezembro de 1973, passam a vigorar com a seguinte redação: "Art. 40. Fora da retificação feita no ato, qualquer outra só poderá ser efetuada nos termos dos arts. 109 a 112 desta Lei." (NR) "Art. 57. A alteração posterior de nome, somente por exceção e motivadamente, após audiência do Ministério Público, será permitida por sentença do juiz a que estiver sujeito o registro, arquivando-se o mandado e publicando-se a alteração pela imprensa, ressalvada a hipótese do art. 110 desta Lei. ...................." (NR) "Art. 110. Os erros que não exijam qualquer indagação para a constatação imediata de necessidade de sua correção poderão ser corrigidos de ofício pelo oficial de registro no próprio cartório onde se encontrar o assentamento, mediante petição assinada pelo interessado, representante legal ou procurador, independentemente de pagamento de selos e taxas, após manifestação conclusiva do Ministério Público. § 1º Recebido o requerimento instruído com os documentos que comprovem o erro, o oficial submetê-lo-á ao órgão do Ministério Público que o despachará em 5 (cinco) dias. § 2º Quando a prova depender de dados existentes no próprio cartório, poderá o oficial certificá-lo nos autos. § 3º Entendendo o órgão do Ministério Público que o pedido exige maior indagação, requererá ao juiz a distribuição dos autos a um dos cartórios da circunscrição, caso em que se processará a retificação, com assistência de advogado, observado o rito sumaríssimo. § 4º Deferido o pedido, o oficial averbará a retificação à margem do registro, mencionando o número do protocolo e a data da sentença e seu trânsito em julgado, quando for o caso." (NR) Art. 3º Esta Lei entra em vigor na data de sua publicação. Brasília, 27 de novembro de 2009; 188º da Independência e 121º da República. LUIZ INÁCIO LULA DA SILVA Luiz Paulo Teles Ferreira Barreto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2026-10-26T02:23:42.769Z</dcterms:created>
  <dcterms:modified xsi:type="dcterms:W3CDTF">2026-10-26T02:23:42.769Z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