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SALÁRIO-DE-CONTRIBUIÇÃO</w:t>
      </w:r>
    </w:p>
    <w:p/>
    <w:p>
      <w:r>
        <w:rPr>
          <w:b/>
          <w:bCs/>
        </w:rPr>
        <w:t xml:space="preserve">Recurso: </w:t>
      </w:r>
      <w:r>
        <w:t xml:space="preserve">REsp 702.940/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NANCY ANDRIGHI</w:t>
      </w:r>
    </w:p>
    <w:p/>
    <w:p>
      <w:r>
        <w:t xml:space="preserve">, 2010. Ano LXII. Nº 735
jeam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irresignação merece prosperar. - É uníssono tanto na doutrina quanto na jurisprudência que o crédito trabalhista tem natureza alimentar e, enquanto tal, constitui crédito superprivilegiado frente aos demais créditos reconhecidos pelo ordenamento jurídico pátrio, preferindo inclusive o crédito de natureza fiscal. - Pode-se conceituar o crédito trabalhista como sendo todo crédito de caráter econômico-financeiro devido ao empregado oriundo da relação de trabalho regida pela CLT passível de eventual reconhecimento judicial. - O salário corresponde a um dever de retribuição pelo fato de o empregado colocar à disposição da empresa sua força de trabalho. Isso justifica a obrigação do pagamento de salários ainda que sem a efetiva prestação do trabalho, como ocorre nas hipóteses de férias, repouso semanal remunerado, faltas justificadas etc. - Para corroborar com estes fundamentos, registrem-se a lição de SÉRGIO PINTO MARTINS, em sua obra Comentários à CLT, 12ª edição, p. 386: "Para fins de falência, a remuneração das férias, ainda quando devida após a cessação do contrato de trabalho, terá natureza salarial (art. 148 da CLT). isso quer dizer que as férias têm também privilégio para efeito de habilitação em falência." - O Tribunal de origem, ao decidir que as verbas indenizatórias, como por exemplo, multas e horas extras, não possuem natureza salarial e, portanto, devem ser classificadas como crédito privilegiado no quadro geral de credores no processo de falência, e não como crédito prioritário trabalhista, viola o art. 449, § 1º, da Consolidação das Leis Trabalhistas, pois o caput do dispositiv o sob comento, fala em direitos, sem qualquer restrição, envolvendo, por conseguinte, verbas salariais e indenizatórias. - Com efeito: "Art. 449. Os direitos oriundos da existência do contrato de trabalho subsistirão em caso de falência, concordata ou dissolução da empresa. § 1º. Na falência, constituirão créditos privilegiados a totalidade dos salários devidos ao empregado e a totalidade das indenizações a que tiver direito." - Além disso, no julgamento do REsp 702.940/SP, Rel. Ministra NANCY ANDRIGHI, DJ 12.12.05, a Terceira Turma desta Corte entendeu que, em razão de sua natureza indenizatória, a multa, prevista no art. 477, § 8º da CLT em favor do empregado, não deve ser excluída do crédito trabalhista objeto de habilitação no processo falimentar, estando o Acórdão assim ementado: "Processo civil. Recurso especial. Falência. Habilitação de crédito trabalhista. Multa prevista no art. 477, § 8º da CLT. Inclusão. Possibilidade. Juros moratórios. Incidência. - A multa estabelecida no art. 477, § 8º da CLT deve ser incluída na habilitação de crédito trabalhista em processo falimentar, em razão de sua natureza preponderantemente indenizatória. - Os juros moratórios fluem até a data da decretação da falência, podendo a massa falida responder pela mora quando seu ativo puder suportar o encargo. Precedentes. Recurso especial parcialmente conhecido e provido." - Apenas a título ilustrativo, na atual legislação de falência - Lei 11.101/2005, o crédito trabalhista subsiste com privilégio sobre todos os demais créditos, ao lado do crédito por acidente do trabalho, porém, limitado a cento e cinqüenta salários mínimos. O que exceder deste valor é crédito quirografário, isto é, sem qualquer preferência, participando, portanto, das sobras, só se situando acima dos créditos subordinados, ou seja, subquirografários, instituídos pela nova legislação falimentar (art. 83, VIII, alíneas a e b). - Entretanto, não se aplica ao caso dos autos a referida legislação, porquanto a Habilitação de Crédito se deu quando da vigência do Decreto Lei 7.661/45. - Ante o exposto, conhece-se do Recurso Especial, dando-lhe provimento para determinar a inclusão das verbas indenizatórias como crédito prioritário trabalhista no processo falimentar da ora Recorrida. Ac. de 08-09-2009 DJ de 10-12-2009 (Reg. nº 2008/0088744-9) Arquivo do EMFOR, STJ/N 7470 EMENTÁRIO FORENSE. Fevereiro, 2010. Ano LXII. Nº 735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verbas indenizatórias, como por exemplo, multas e horas extras, possuem natureza salarial e, portanto, devem ser classificadas, no processo de falência, como crédito prioritário trabalhista, sob pena de violação do art. 449, § 1º, da Consolidação das Leis Trabalhistas.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2026-10-26T03:54:04.387Z</dcterms:created>
  <dcterms:modified xsi:type="dcterms:W3CDTF">2026-10-26T03:54:04.387Z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