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220.906/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Maurício Corrêa</w:t>
      </w:r>
    </w:p>
    <w:p/>
    <w:p>
      <w:r>
        <w:t xml:space="preserve">DECRETO-LEI 509/1969 — SE FOI REVOGADO PELA LEI 9.289/1996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Decreto-Lei 509/69 dispõe sobre a transformação dos Correios e Telégrafos em empresa pública, estabelecendo, em seu art. 12, que "a ECT gozará de isenção de direitos de importação de materiais e equipamentos destinados aos seus serviços, dos privilégios concedidos à Fazenda Pública, quer em relação a imunidade tributária, direta ou indireta, impenhorabilidade de seus bens, rendas e serviços, quer no concernente a foro, prazos e custas processuais" (grifou-se). - Analisando a referida norma, o Plenário do Supremo Tribunal Federal, no julgamento do RE 220.906/DF (Rel. Min. Maurício Corrêa, DJ de 14.11.2002), consagrou entendimento no sentido de que a Constituição Federal de 1988 recepcionou o disposto no art. 12 do Decreto-Lei 509/69, o qual estendeu à Empresa Brasileira de Correios e Telégrafos - ECT - os privilégios conferidos à Fazenda Pública, entre eles os concernentes a foro, prazos e custas processuais. - Convém transcrever a ementa do acórdão proferido naquela ocasião: "RECURSO EXTRAORDINÁRIO. CONSTITUCIONAL. EMPRESA BRASILEIRA DE CORREIOS E TELÉGRAFOS. IMPENHORABILIDADE DE SEUS BENS, RENDAS E SERVIÇOS. RECEPÇÃO DO ART. 12 DO DECRETO-LEI Nº 509/69. EXECUÇÃO. OBSERVÂNCIA DO REGIME DE PRECATÓRIO. APLICAÇÃO DO ART. 100 DA CONSTITUIÇÃO. 1. À Empresa Brasileira de Correios e Telégrafos, pessoa jurídica equiparada à Fazenda Pública, é aplicável o privilégio da impenhorabilidade de seus bens, rendas e serviços. Recepção do artigo 12 do Decreto-lei nº 509/69 e não-incidência da restrição contida no artigo 173, § 1º, da Constituição Federal, que submete a empresa pública, a so ciedade de economia mista e outras entidades que explorem atividade econômica ao regime próprio das empresas privadas, inclusive quanto às obrigações trabalhistas e tributárias. 2. Empresa pública que não exerce atividade econômica e presta serviço público de competência da União Federal e por ela mantido. Execução. Observância ao regime de precatório, sob pena de vulneração do disposto no artigo 100 da Constituição Federal. Recurso Extraordinário conhecido e provido." (grifou-se) - Infere-se, portanto, que a Empresa Brasileira de Correios e Telégrafos é uma empresa pública, entidade da Administração Indireta da União, criada pelo Decreto-Lei 509, de 10 de março de 1969, cujo capital é detido integralmente pela União, nos termos do art. 6º, gozando das mesmas prerrogativas concedidas à Fazenda Pública em relação à imunidade tributária, à impenhorabilidade de seus bens, rendas e serviços, bem como a foro, prazos e custas processuais. - Com efeito, "a Empresa Brasileira de Correios e Telégrafos é isenta do pagamento de custas processuais, nos termos do artigo 12 do Decreto-Lei 509/69, que estendeu a ela os privilégios concedidos à Fazenda Pública (...) No julgamento do RE 220.906-DF, o Supremo Tribunal Federal proclamou a recepção do artigo 12 do Decreto-Lei 509/69 pela Constituição Federal de 1988" (STF: AI 620.051/MG, Rel. Min. Marco Aurélio, DJe de 24.4.2008). - A propósito: "AGRAVO REGIMENTAL. ECT. PRAZO EM DOBRO. APLICAÇÃO ART. 12 DO DECRETO-LEI N. 509/69. RECEPÇÃO PELA CONSTITUIÇÃO FEDERAL. PRAZO PROGRAMÁTICO. ARTS. 6º DA LEI N. 8.025/90 E DO DECRETO N. 99.266/90. NECESSIDADE. NOTIFICAÇÃO. 1.Tendo o art. 12 do Decreto-lei n. 509/69 sido recepcionado pela Constituição Federal, permanecem os privilégios concedidos à Empresa Brasileira de Correios e Telégrafos como pessoa jurídica equiparada à Fazenda Pública; portanto, é tempestivo o recurso interposto dentro do prazo em dobro para recorrer previsto no art. 188 do CPC. 2. O prazo de trinta dias fixado pela Lei n. 8.025/90 e pelo Decreto n. 99.266/90 não possui natureza decadencial sendo, em verdade, prazo programático, consoante já se pronunciou esta Corte Superior. 3. O prazo previsto no art. 6º da Lei n. 8.025/90 e no art. 6º do Decreto n. 99.266/90 somente começa a correr após a notificação. 4. Agravo a que se nega provimento." (AgRg no Ag 418.318/DF, 2ª Turma, Rel. Min. João Otávio de Noronha, DJ de 29.3.2004) "RECURSO ESPECIAL - ALÍNEA 'A' - PEDIDO DE UNIFORMIZAÇÃO DE JURISPRUDÊNCIA RELATIVO À DIVERGÊNCIA DE ENTENDIMENTO NO ÂMBITO DE OUTRO TRIBUNAL - DESCABIMENTO. EXECUÇÃO FISCAL - EMPRESA BRASILEIRA DE CORREIOS E TELÉGRAFOS - EMPRESA PÚBLICA QUE GOZA DO PRIVILÉGIO DA IMPENHORABILIDADE DOS BENS - ALEGADA OFENSA AO ART. 12 DO DECRETO-LEI Nº 506/69 - OCORRÊNCIA - AUSÊNCIA DE PREQUESTIONAMENTO NO ART. 1º DA LEI Nº 9.074/95 - PRECEDENTES DO STF E DO STJ. (...) Assiste razão à ECT ao sustent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do Supremo Tribunal Federal, sobre a isenção da ECT no pagamento de custas processuais, é posterior à publicação da Lei 9.289/1996, o que afasta, segundo o posicionamento da Suprema Corte, a alegação de que o Decreto-Lei 509/1969 teria sido revogado pela Lei 9.289/1996.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2026-10-26T04:39:20.969Z</dcterms:created>
  <dcterms:modified xsi:type="dcterms:W3CDTF">2026-10-26T04:39:20.969Z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