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Recurso: </w:t>
      </w:r>
      <w:r>
        <w:t xml:space="preserve">mandado de segurança 20.617-9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31/03/1987</w:t>
      </w:r>
    </w:p>
    <w:p/>
    <w:p>
      <w:r>
        <w:t xml:space="preserve">AUDIÊNCIA DA COMISSÃO AGRÁRIA — FALTA DE PRÉVIA AUDIÊNCIA DESTA - SE INDUZ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referente à alegação de haver necessidade de participação da Comissão Agrária, já por igual tem decidido esta Corte que não é indispensável a audiência desse órgão, porque a lei não estabelece tal obrigatoriedade. - As Comissões possuem caráter consultivo e as desapropriações não se encontram vinculadas à prévia manifestação desse órgão. Nesse sentido já há julgamentos do Plenário desta corte, como no mandado de segurança 20.617-9 - DF (sessão do dia 26-11-1986), e mencionado apenas como exemplo. Julgado em 01-04-1987 Arquivo do STF - DJ - Ementário Nº 1.454-3 Arquivo do EMFOR, STF/55 EMFOR 466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havendo, na lei, obrigatoriedade de prévia audiência da Comissão Agrária da região para que possa haver a desapropriação, não há nulidade do ato que a determinou por não ter sido ouvido tal órgão.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2026-10-26T04:34:05.491Z</dcterms:created>
  <dcterms:modified xsi:type="dcterms:W3CDTF">2026-10-26T04:34:05.491Z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