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mandado de segurança 20.617-9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31/03/1987</w:t>
      </w:r>
    </w:p>
    <w:p/>
    <w:p>
      <w:r>
        <w:t xml:space="preserve">AUDIÊNCIA DA COMISSÃO AGRÁRIA — FALTA DE PRÉVIA AUDIÊNCIA DESTA - SE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referente à alegação de haver necessidade de participação da Comissão Agrária, já por igual tem decidido esta Corte que não é indispensável a audiência desse órgão, porque a lei não estabelece tal obrigatoriedade. - As Comissões possuem caráter consultivo e as desapropriações não se encontram vinculadas à prévia manifestação desse órgão. Nesse sentido já há julgamentos do Plenário desta corte, como no mandado de segurança 20.617-9 - DF (sessão do dia 26-11-1986), e mencionado apenas como exemplo. Julgado em 01-04-1987 Arquivo do STF - DJ - Ementário Nº 1.454-3 Arquivo do EMFOR, STF/55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havendo, na lei, obrigatoriedade de prévia audiência da Comissão Agrária da região para que possa haver a desapropriação, não há nulidade do ato que a determinou por não ter sido ouvido tal órgão.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2026-07-27T23:39:39.543Z</dcterms:created>
  <dcterms:modified xsi:type="dcterms:W3CDTF">2026-07-27T23:39:39.543Z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