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5.172 DE 25-10-1966</w:t>
      </w:r>
    </w:p>
    <w:p/>
    <w:p/>
    <w:p>
      <w:r>
        <w:t xml:space="preserve">APRENDIZAGEM NOTURNA — LEI 9.503/97 - ART. 158 - OBRIGATORIEDADE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12.217, DE 17 DE MARÇO DE 2010 Acrescenta dispositivo ao art. 158 da Lei nº 9.503, de 23 de setembro de 1997 - Código de Trânsito Brasileiro, para tornar obrigatória aprendizagem noturna. O VICE-PRESIDENTE DAREPÚBLICA, no exercício do cargo de PRESIDENTE DA REPÚBLICA Faço saber que o Congresso Nacional decreta e eu sanciono a seguinte Lei: Art. 1º O art. 158 da Lei nº 9.503, de 23 de setembro de 1997 - Código de Trânsito Brasileiro, passa a vigorar acrescido do seguinte § 2º, renumerando-se o atual parágrafo único para § 1º: "Art. 158. ................ ................................. § 2º Parte da aprendizagem será obrigatoriamente realizada durante a noite, cabendo ao CONTRAN fixar-lhe a carga horária mínima correspondente." (NR) Art. 2º Esta Lei entra em vigor 60 (sessenta) dias após a data de sua publicação oficial. Brasília, 17 de março de 2010; 189º da Independência e 122º da República. JOSÉ ALENCAR GOMES DA SILVA Márcio Fortes de Almeida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2026-09-10T23:35:00.621Z</dcterms:created>
  <dcterms:modified xsi:type="dcterms:W3CDTF">2026-09-10T23:35:00.621Z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