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CONSUMO</w:t>
      </w:r>
    </w:p>
    <w:p>
      <w:r>
        <w:rPr>
          <w:i/>
          <w:iCs/>
          <w:color w:val="666666"/>
        </w:rPr>
        <w:t xml:space="preserve">LEI 4.502 DE 30-11-1964</w:t>
      </w:r>
    </w:p>
    <w:p/>
    <w:p/>
    <w:p>
      <w:r>
        <w:t xml:space="preserve">03. COBRANÇA, FISCALIZAÇÃO, ARRECADAÇÃO E ADMINISTRAÇÃO — REGULAMENTA</w:t>
      </w:r>
    </w:p>
    <w:p/>
    <w:p>
      <w:pPr>
        <w:pStyle w:val="Heading2"/>
      </w:pPr>
      <w:r>
        <w:rPr>
          <w:b/>
          <w:bCs/>
        </w:rPr>
        <w:t xml:space="preserve">Ementa</w:t>
      </w:r>
    </w:p>
    <w:p>
      <w:r>
        <w:t xml:space="preserve">TÍTULO VII DA OBRIGAÇÃO PRINCIPAL CAPÍTULO I DO FATO GERADOR Hipóteses de Ocorrência Art. 35. Fato gerador do imposto é (Lei nº 4.502, de 1964, art. 2º): I - o desembaraço aduaneiro de produto de procedência estrangeira; ou II - a saída de produto do estabelecimento industrial, ou equiparado a industrial. Parágrafo único. Para efeito do disposto no inciso I, considerar-se-á ocorrido o respectivo desembaraço aduaneiro da mercadoria que constar como tendo sido importada e cujo extravio ou avaria venham a ser apurados pela autoridade fiscal, inclusive na hipótese de mercadoria sob regime suspensivo de tributação (Lei nº 4.502, de 1964, art. 2º, § 3º, e Lei nº 10.833, de 2003, art. 80). Art. 36. Considera-se ocorrido o fato gerador: I - na entrega ao comprador, quanto aos produtos vendidos por intermédio de ambulantes (Lei nº 4.502, de 1964, art. 2º e art. 5º, inciso I, alínea "a", e Decreto-Lei nº 1.133, de 16 de novembro de 1970, art. 1º); II - na saída de armazém-geral ou outro depositário do estabelecimento industrial ou equiparado a industrial depositante, quanto aos produtos entregues diretamente a outro estabelecimento (Lei nº 4.502, de 1964, art. 2º e art. 5º, inciso I, alínea "a", e Decreto-Lei nº 1.133, de 1970, art. 1º); III - na saída da repartição que promoveu o desembaraço aduaneiro, quanto aos produtos que, por ordem do importador, forem remetidos diretamente a terceiros (Lei nº 4.502, de 1964, art. 2º e art. 5º, inciso I, alínea "b", e Decreto-Lei nº 1.133, de 1970, art. 1º); IV - na saída do estabelecimento industrial diretamente para estabelecimento da mesma firma ou de terceiro, por ordem do encomendante, quanto aos produtos mandados industrializar por encomenda (Lei nº 4.502, de 1964, art. 2º e art. 5º, inciso I, alínea "c", e Decreto-Lei nº 1.133, de 1970, art. 1º); V - na saída de bens de produção dos associados para as suas cooperativas, equiparadas, por opção, a estabelecimento industrial; VI - no quarto dia da data da emissão da respectiva nota fiscal, quanto aos produtos que até o dia anterior não tiverem deixado o estabelecimento do contribuinte (Lei nº 4.502, de 1964, art. 2º e art. 5º, inciso I, alínea "d", e Decreto-Lei nº 1.133, de 1970, art. 1º); VII - no momento em que ficar concluída a operação industrial, quando a industrialização se der no próprio local de consumo ou de utilização do produto, fora do estabelecimento industrial (Lei nº 4.502, de 1964, art. 2º, § 1º); VIII - no início do consumo ou da utilização do papel destinado à impressão de livros, jornais e periódicos, em finalidade diferente da que lhe é prevista na imunidade de que trata o inciso I do art. 18, ou na saída do fabricante, do importador ou de seus estabelecimentos distribuidores, para pessoas que não sejam empresas jornalísticas ou editoras (Lei nº 9.532, de 1997, art. 40); IX - na aquisição ou, se a venda tiver sido feita antes de concluída a operação industrial, na conclusão desta, quanto aos produtos que, antes de sair do estabelecimento que os tenha industrializado por encomenda, sejam por este adquiridos; X - na data da emissão da nota fiscal pelo estabelecimento industrial, quando da ocorrência de qualquer das hipóteses enumeradas no inciso VII do art. 25 (Lei nº 9.532, de 1997, art. 39, § 4º); XI - no momento da sua venda, quanto aos produtos objeto de operação de venda que forem consumidos ou utilizados dentro do estabelecimento industrial (Lei nº 4.502, de 1964, art. 2º e art. 5º, inciso I, alínea "e", Decreto-Lei nº 1.133, de 1970, art. 1º, e Lei nº 9.532, de 1997, art. 38); XII - na saída simbólica de álcool das usinas produtoras para as suas cooperativas, equiparadas, por opção, a estabelecimento industrial; e XIII - na data do vencimento do prazo de permanência da mercadoria no recinto alfandegado, antes de aplicada a pena de perdimento, quando as mercadorias importadas forem consid eradas abandonadas pelo decurso do referido prazo (Decreto-Lei nº 1.455, de 1976, art. 23, inciso II, e Lei nº 9.779, de 1999, art. 18, e parágrafo único). Parágrafo único. Na hipótese do inciso VII, considera-se concluída a operação industrial e ocorrido o fato gerador na data da entrega do produto ao adquirente ou na data em que se iniciar o seu consumo ou a sua utilização, se anterior à formalização da entrega. Art. 37. Na hipótese de venda, exposição à venda, ou consumo no território nacional, de produtos destinados ao exterior, ou na hipótese de descumprimento das condições estabelecidas para a isenção ou a suspensão 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2026-06-17T17:54:47.814Z</dcterms:created>
  <dcterms:modified xsi:type="dcterms:W3CDTF">2026-06-17T17:54:47.814Z</dcterms:modified>
</cp:coreProperties>
</file>

<file path=docProps/custom.xml><?xml version="1.0" encoding="utf-8"?>
<Properties xmlns="http://schemas.openxmlformats.org/officeDocument/2006/custom-properties" xmlns:vt="http://schemas.openxmlformats.org/officeDocument/2006/docPropsVTypes"/>
</file>