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CAUSA MORTIS</w:t>
      </w:r>
    </w:p>
    <w:p>
      <w:r>
        <w:rPr>
          <w:i/>
          <w:iCs/>
          <w:color w:val="666666"/>
        </w:rPr>
        <w:t xml:space="preserve">BENEFÍCIOS FISCAIS</w:t>
      </w:r>
    </w:p>
    <w:p/>
    <w:p/>
    <w:p>
      <w:r>
        <w:t xml:space="preserve">05. COBRANÇA, FISCALIZAÇÃO, ARRECADAÇÃO E ADMINISTRAÇÃO — REGULAMENTA</w:t>
      </w:r>
    </w:p>
    <w:p/>
    <w:p>
      <w:pPr>
        <w:pStyle w:val="Heading2"/>
      </w:pPr>
      <w:r>
        <w:rPr>
          <w:b/>
          <w:bCs/>
        </w:rPr>
        <w:t xml:space="preserve">Ementa</w:t>
      </w:r>
    </w:p>
    <w:p>
      <w:r>
        <w:t xml:space="preserve">Seção IV Da Concessão de Outras Isenções Art. 67. As entidades beneficentes de assistência social, certificadas na forma do inciso IV do art. 18 da Lei nº 8.742, de 7 de dezembro de 1993, reconhecidas como de utilidade pública, na forma da Lei nº 91, de 28 de agosto de 1935, ficam autorizadas a vender em feiras, bazares e eventos semelhantes, com isenção do imposto incidente na importação, produtos estrangeiros recebidos em doação de representações diplomáticas estrangeiras sediadas no País, nos termos e condições estabelecidos pelo Ministro de Estado da Fazenda (Lei nº 8.218, de 29 de agosto de 1991, art. 34). Parágrafo único. O produto líquido da venda a que se refere este artigo terá como destinação exclusiva o desenvolvimento de atividades beneficentes no País (Lei nº 8.218, de 1991, art. 34, parágrafo único). Seção V Das Normas de Procedimento Art. 68. Serão observadas as seguintes normas, em relação às isenções de que trata o art. 54: I - aos veículos adquiridos nos termos dos incisos XI, XII e XIII não se aplica a exigência de que sejam movidos a combustíveis de origem renovável (Lei nº 9.660, de 16 de junho de 1998, art. 1º, § 2º e art. 2º, § 3º, e Lei nº 10.182, de 2001, art. 3º); II - as isenções referidas nos incisos XII e XIII serão declaradas pela unidade regional da Secretaria da Receita Federal do Brasil, mediante requisição do Ministério das Relações Exteriores, observadas as normas expedidas pelo Secretário da Receita Federal do Brasil; III - quanto à isenção do inciso XX, o Secretário da Receita Federal do Brasil, ouvido o Ministério da Ciência e Tecnologia, estabelecerá limite global anual, em valor, para as importações (Lei nº 8.010, de 1990, art. 2º); e IV - para efeito de reconhecimento das isenções do inciso XXV, a empresa deverá, previamente, apresentar à Secretaria da Receita Federal do Brasil relação quantificada dos bens a serem importados ou adquiridos no mer cado interno, aprovada pelo Ministério da Ciência e Tecnologia (Lei nº 9.359, de 1996, art. 4º, e Lei nº 9.643, de 1998, art. 2º). CAPÍTULO IV DA REDUÇÃO E MAJORAÇÃO DO IMPOSTO Seção I Das Disposições Preliminares Art. 69. O Poder Executivo, quando se tornar necessário para atingir os objetivos da política econômica governamental, mantida a seletividade em função da essencialidade do produto, ou, ainda, para corrigir distorções, poderá reduzir alíquotas do imposto até zero ou majorá-las até trinta unidades percentuais (Decreto-Lei nº 1.199, de 1971, art. 4º). Parágrafo único. Para efeito do disposto neste artigo, as alíquotas básicas são as constantes da TIPI, aprovada pelo Decreto nº 4.070, de 28 de dezembro de 2001 (Lei nº 10.451,de 2002, art. 7º). Art. 70. As reduções do imposto referentes aos bens de procedência estrangeira estão asseguradas na forma da legislação específica desde que satisfeitos os requisitos e condições exigidos para a concessão do benefício análogo, relativo ao Imposto de Importação (Lei nº 8.032, de 1990, art. 3º, inciso I, e Lei nº 8.402, de 1992, art. 1º, inciso IV). Seção II Dos Produtos classificados nos Códigos 71.13, 71.14, 71.16 e 71.17 da TIPI Art. 71. O Poder Executivo poderá fixar, para o imposto incidente sobre os produtos classificados nos Códigos 71.13, 71.14, 71.16 e 71.17 da TIPI, alíquotas correspondentes às mínimas estabelecidas para o Imposto sobre Operações relativas à Circulação de Mercadorias e sobre Prestações de Serviços de Transporte Interestadual e Intermunicipal e de Comunicação - ICMS, nos termos do inciso VI do § 2º do art. 155 da Constituição (Lei nº 11.196, de 2005, art. 67). Parágrafo único. As alíquotas do imposto fixadas na forma do caput serão uniformes em todo o território nacional (Lei nº 11.196, de 2005, art. 67, parágrafo único). Seção III Dos Produtos Destinados à Pesquisa e ao De senvolvimento Tecnológico Art. 72. Haverá redução de cinquenta por cento do imposto incidente sobre equipamentos, máquinas, aparelhos e instrumentos, bem como os acessórios sobressalentes e ferramentas que acompanhem esses bens, destinados à pesquisa e ao desenvolvimento tecnológico (Lei nº 11.196, de 2005, art. 17, inciso II). § 1º A pessoa jurídica beneficiária do incentivo de que trata o caput fica obrigada a prestar, em meio eletrônico, ao Ministério da Ciência e Tecnologia, informações sobre os programas de pesquisa, desenvolvimento tecnológico e inovação, observado o seguinte (Lei nº 11.196, de 2005, art. 17, § 7º): I - a documentação relativa à utilização do incentivo deverá ser mantida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2026-07-28T01:50:21.754Z</dcterms:created>
  <dcterms:modified xsi:type="dcterms:W3CDTF">2026-07-28T01:50:21.754Z</dcterms:modified>
</cp:coreProperties>
</file>

<file path=docProps/custom.xml><?xml version="1.0" encoding="utf-8"?>
<Properties xmlns="http://schemas.openxmlformats.org/officeDocument/2006/custom-properties" xmlns:vt="http://schemas.openxmlformats.org/officeDocument/2006/docPropsVTypes"/>
</file>