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01. DECRETO 6.759 DE 05-02-2009 — DISPOSITIVOS - ALTERA E ACRESCE</w:t>
      </w:r>
    </w:p>
    <w:p/>
    <w:p>
      <w:pPr>
        <w:pStyle w:val="Heading2"/>
      </w:pPr>
      <w:r>
        <w:rPr>
          <w:b/>
          <w:bCs/>
        </w:rPr>
        <w:t xml:space="preserve">Ementa</w:t>
      </w:r>
    </w:p>
    <w:p>
      <w:r>
        <w:t xml:space="preserve">DECRETO Nº 7.213, DE 15 DE JUNHO DE 2010 Altera e acresce dispositivos ao Decreto nº 6.759, de 5 de fevereiro de 2009, que regulamenta a administração das atividades aduaneiras, e a fiscalização, o controle e a tributação das operações de comércio exterior. O PRESIDENTE DA REPÚBLICA, no uso das atribuições que lhe confere o art. 84, inciso IV, da Constituição, DECRETA: Art. 1º Os dispositivos a seguir indicados do Decreto nº 6.759, de 5 de fevereiro de 2009, passam a vigorar com a seguinte redação: "Art. 15. .................. Parágrafo único. As atividades de fiscalização de tributos incidentes sobre as operações de comércio exterior serão supervisionadas e executadas por Auditor-Fiscal da Receita Federal do Brasil (Lei nº 5.172, de 1966, arts. 142, 194 e 196; Lei nº 4.502, de 1964, art. 93; Lei nº 10.593, de 6 de dezembro de 2002, art. 6º, com a redação dada pela Lei nº 11.457, de 16 de março de 2007, art. 9º)." (NR) "Art. 17. Nas áreas de portos, aeroportos, pontos de fronteira e recintos alfandegados, bem como em outras áreas nas quais se autorize carga e descarga de mercadorias, ou embarque e desembarque de viajante, procedentes do exterior ou a ele destinados, a autoridade aduaneira tem precedência sobre as demais que ali exerçam suas atribuições (Decreto-Lei nº 37, de 1966, art. 35). § 1º ........................ I - a obrigação, por parte das demais autoridades, de prestar auxílio imediato, sempre que requisitado pela autoridade aduaneira, disponibilizando pessoas, equipamentos ou instalações necessários à ação fiscal; e II - a competência da autoridade aduaneira, sem prejuízo das atribuições de outras autoridades, para disciplinar a entrada, a permanência, a movimentação e a saída de pessoas, veículos, unidades de carga e mercadorias nos locais referidos no caput, no que interessar à Fazenda Nacional. § 2º O disposto neste artigo aplica-se igualmente à zona de vigilância aduaneira, devendo as demais autoridades prestar à autoridade aduaneira a colaboração que for solicitada." (NR) "Art. 33. .................. Parágrafo único. O disposto no caput poderá ser estendido a outras vias de transporte, na forma e no prazo estabelecidos pela Secretaria da Receita Federal do Brasil." (NR) "Art. 61. .................. § 1º A entrada, no território aduaneiro, dos lotes subsequentes ao primeiro deverá ocorrer dentro de trinta dias contados do início do despacho de importação. ......................" (NR) "Art. 72. .................. § 1º Para efeito de ocorrência do fato gerador, considera-se entrada no território aduaneiro a mercadoria que conste como importada e cujo extravio tenha sido apurado pela autoridade aduaneira (Decreto-Lei nº 37, de 1966, art. 1º, § 2º, com a redação dada pelo Decreto-Lei nº 2.472, de 1988, art. 1º). ......................" (NR) "Art. 73. ................. ................................. II - ........................... ................................ d) mercadoria estrangeira que não haja sido objeto de declaração de importação, na hipótese em que tenha sido consumida ou revendida, ou não seja localizada; III - na data do vencimento do prazo de permanência da mercadoria em recinto alfandegado, se iniciado o respectivo despacho aduaneiro antes de aplicada a pena de perdimento da mercadoria, na hipótese a que se refere o inciso XXI do art. 689 (Lei nº 9.779, de 19 de janeiro de 1999, art. 18, caput e parágrafo único); ou IV - na data do registro da declaração de admissão temporária para utilização econômica (Lei nº 9.430, de 1996, art. 79, caput). ......................." (NR) "Art. 77. Integram o valor aduaneiro, independentemente do método de valoração utilizado (Acordo de Valoração Aduaneira, Artigo 8, parágrafos 1 e 2, aprovado pelo Decreto Legislativo nº 30, de 1994, e promulgado pelo Decreto nº 1.355, de 1994; e Norma de Aplicação sobre a Valoração Aduaneira de Mercadorias, Artigo 7º, aprovad o pela Decisão CMC nº 13, de 2007, internalizada pelo Decreto nº 6.870, de 4 de junho de 2009): ......................." (NR) "Art. 87. Para fins de determinação do valor dos bens que integram a bagagem, será considerado o valor de sua aquisição, à vista da fatura ou documento de efeito equivalente (Regime Aduaneiro de Bagagem no Mercosul, Artigo 4º, inciso 1, aprovado pela Decisão CMC nº 53, de 2008, internalizada pelo Decreto nº 6.870, de 2009). Parágrafo único. Na falta do valor mencionado no caput, por inexistência ou por inexatidão da fatura ou documento de efeito equivalente, será considera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2026-07-28T02:42:47.710Z</dcterms:created>
  <dcterms:modified xsi:type="dcterms:W3CDTF">2026-07-28T02:42:47.710Z</dcterms:modified>
</cp:coreProperties>
</file>

<file path=docProps/custom.xml><?xml version="1.0" encoding="utf-8"?>
<Properties xmlns="http://schemas.openxmlformats.org/officeDocument/2006/custom-properties" xmlns:vt="http://schemas.openxmlformats.org/officeDocument/2006/docPropsVTypes"/>
</file>