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MS 20.302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07/04/1987</w:t>
      </w:r>
    </w:p>
    <w:p/>
    <w:p>
      <w:r>
        <w:t xml:space="preserve">EXCLUDENTE DA EXISTÊNCIA DE COBERTURA FLORESTAL — QUANDO A MATÉRIA É IMPRÓPRIA AO MANDADO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Sustentam os impetrantes que a Fazenda Estrela, de sua propriedade, acha-se revestida com cobertura florestal nativa, destinando-se &lt;&lt;à exploração da madeira somente através de manejo sustentado&gt;&gt;, por força do art. 19 do Código Florestal (Lei nº 4.771, de 15-09-65, alterado pelo art. 2º da Lei nº 7.511, de 07-07-86), não podendo sofrer desmate para fins agropecuários, conforme a Portaria nº486-9-86 do IBDF; bem assim não pode ser considerado latifúndio, em face do disposto no art. 4º, parágrafo único, letra a, do Estatuto da Terra. - Porém, dizem as informações que o imóvel sempre esteve classificado como &lt;&lt;latifúndio por exploração&gt;&gt; (inc. II-B, do art. 22 do Dec. 84.685/80), classificação constante do certificado de Cadastro apresentado pelos proprietários, referente ao exercício de 1986), correspondente ao exercício de 1985, este trazido aos autos pelos impetrantes. - Lê-se noutra passagem: &lt;&lt;Ressalte-se, por primeiro, que este não é o caso de isenção de desapropriação, como querem os Impetrantes, porquanto o módulo de propriedade aplicável é o de exploração indefinida, com 15 ha, contendo o imóvel mais de 5 módulos. - Como jamais efetivaram qualquer exploração no imóvel, nunca foi possível estabelecer de forma diferente o módulo de propriedade. - Como assinala PAULO TORMIN BORGES, &lt;&lt;se não houver qualquer tipo de exploração, o módulo é de propriedade inexplorada ou de exploração indefinida&gt;&gt; (in &lt;&lt;O imóvel rural e seus problemas jurídicos&gt;&gt;, 2ª ed., ampliada e atualizada, SP, Saraiva, 1981, pág. 3). - Assim sendo, os Impetrantes não poderão fugir do que está prescrito na tabela por eles mesmos apresentada, a título de prova: &lt;&lt;Dimensão dos módulos por tipo de exploração (Ha) - Imóvel Inexplorado ou c/Exploração Não Definida&gt;&gt; - 15 ha (reproduzida, em partes, para melhor verificação, no DOC. 8).&gt;&gt; - Acrescentando: &lt;&lt;A exploração florestal no imóvel nunca se afetivou, não bastando a existência de florestas a título de preservação ecológica, para se entender que o imóvel rural não seja LATIFÚNDIO. - Ressalvadas as metas de preservação permanentes, deve-se estabelecer critérios para se dizer quando o imóvel é classificado como latifúndio, no caso de floresta. - E a interpretação da lei não pode ser literal, absurda, estática, pois assim poderíamos entender que, se determinado indivíduo comprasse milhares de hectares na Amazônia, e como tudo aquilo é floresta, teria índice absoluto de aproveitamento! - No caso dos Impetrantes, além de manterem a sua área imemorialmente inativa, não chegaram a apresentar projeto de exploração ou qualquer outra destinação social para o imóvel. - Não ocorreu exploração florestal racional mediante planejamento adequado e, afirmando em contrário, sem nada provar, será mera força de expressão para escapar da desapropriação&gt;&gt;. - Daí afirmar o parecer do eminente Procurador GILMAR FERREIRA MENDES: - Não parece haver dúvida também de que a simples existência de cobertura florística que possa ser adequadamente explorada não retira do imóvel a condição de latifúndio, aplicando-se a disposição estatutária (art. 4º, § único, &lt;&lt;a&gt;&gt;), tão-somente a imóvel no qual se realize exploração florestal planejada. - Nem teria sentido excluir da classificação como latifúndio o imóvel que, embora dotado de condições para exploração florestal, fosse mantido inexplorado (Lei nº 4.504/64, art. 4º, V, &lt;&lt;b&gt;&gt;). - E a vistoria realizada pelo INCRA no imóvel dos impetrantes parece ter confirmado a inexistência de qualquer exploração, como se pode ler na seguinte passagem do relatório apresentado. - Há, sem dúvida, matéria de fato complexa e controvertida, não só quanto a classificação do imóvel como latifúndio por exploração, segundo a documentação trazida pelas informações, mas também no que toca a alegada exploração florestal planejada, como se vê das informações e foi realçado no parecer da douta Procuradoria-Geral da República, afirmando a inexistência de exploração florestal. - Como é de saber correntio o direito assenta numa situação de fato. - Quando não há uma prévia determinação e certeza do fato não se pode declarar e reconhecer o direito correspondente particularmente no âmbito do "Writ", que não se presta ao confronto e apuração da prova em torno de fato duvidoso e controverso. - Aí o conflito existente somente poderá ser solvido pelos meios ordinários. - Nessa linha de entendimento vem se posicionando esta Corte em casos análogos (MS 20.302), de que fui relator; 20.356, relatado pelo eminen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alegação da existência de cobertura florestal e de módulo rural que afastam a legitimidade da desapropriação por interesse social (art. 19 do Código Florestal, art. 4º, parágrafo único, letra &lt;&lt;a&gt;&gt;, do Estatuto da Terra) é matéria de fato complexa e controvertida insuscetível de solução na via do mandado de segurança, devendo ser cassada a medida liminar concedida, mas ressalvada a via ordinária, em resguardo do possível direito dos impetrantes.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2026-07-28T00:10:22.731Z</dcterms:created>
  <dcterms:modified xsi:type="dcterms:W3CDTF">2026-07-28T00:10:22.731Z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