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09. REPENEC — PROUCA - RECOMPE - FUNDO DA MARINHA MERCANTE-FMM - RETAERO - PMCMV - MENCIONA</w:t>
      </w:r>
    </w:p>
    <w:p/>
    <w:p>
      <w:pPr>
        <w:pStyle w:val="Heading2"/>
      </w:pPr>
      <w:r>
        <w:rPr>
          <w:b/>
          <w:bCs/>
        </w:rPr>
        <w:t xml:space="preserve">Ementa</w:t>
      </w:r>
    </w:p>
    <w:p>
      <w:r>
        <w:t xml:space="preserve">Art. 100. Após a publicação do ato a que se refere o art. 98, os servidores continuarão prestando serviço ao governo do Estado de Rondônia, na condição de cedidos, sem ônus para o cessionário, até que sejam aproveitados em órgão ou entidade da administração federal direta, autárquica ou fundacional. Art. 101. Haverá compensação financeira das contribuições previdenciárias entre o Instituto de Previdência dos Servidores Públicos do Estado de Rondônia - IPERON, criado pela Lei Estadual nº 20, de 13 de abril de 1984, e o Regime Próprio de Previdência Social dos Servidores da União, nos moldes definidos pela Lei nº 9.796, de 5 de maio de 1999, e pelo Decreto nº 3.112, de 6 de julho de 1999, no que se refere aos servidores e militares que formalizarem o Termo de Opção pela inclusão no referido quadro em extinção da administração federal. Art. 102. (VETADO). Art. 103. O ato de entrega dos recursos correntes e de capital a outro ente da Federação, a título de transferência voluntária, nos termos do art. 25 da Lei Complementar nº 101, de 4 de maio de 2000, é caracterizado no momento da assinatura do respectivo convênio ou contrato de repasse, bem como na assinatura dos correspondentes aditamentos de valor, e não se confunde com as liberações financeiras de recursos, que devem obedecer ao cronograma de desembolso previsto no convênio ou contrato de repasse. Art. 104. As transferências obrigatórias de recursos financeiros pelos órgãos e entidades da União aos órgãos e entidades dos Municípios para a execução de ações no âmbito do Programa Territórios da Cidadania - PTC, cuja execução por esses entes federados seja de interesse da União, observarão as disposições desta Lei. Parágrafo único. As transferências obrigatórias referidas no caput destinam-se exclusivamente aos Municípios com menos de 50.000 (cinquenta mil) habitantes. Art. 105. O Poder Executivo, por proposta do Comitê Gestor Nacional do PTC , discriminará as programações do PTC a serem executadas por meio das transferências obrigatórias a que se refere o art. 104. Parágrafo único. Caberá ao Comitê Gestor Nacional do PTC divulgar em sítio na Internet a relação das programações de que trata o caput, bem como promover as atualizações devidas nessa relação, inclusive no que se refere a alterações nas classificações orçamentárias decorrentes de lei orçamentária anual e seus créditos adicionais. Art. 106. As transferências obrigatórias para a execução das ações do PTC são condicionadas ao cumprimento dos seguintes requisitos pelos Municípios beneficiários, conforme constante em termo de compromisso: I - identificação do objeto a ser executado; II - metas a serem atingidas; III - etapas ou fases da execução; IV - plano de aplicação dos recursos financeiros; V - cronograma de desembolso; VI - previsão de início e fim da execução do objeto, bem como da conclusão das etapas ou fases programadas; e VII - comprovação de que os recursos próprios para complementar a execução do objeto estão devidamente assegurados, salvo se o custo total do objeto a ser executado recair sobre a entidade ou órgão descentralizador. § 1º A aprovação formal pela União do termo de compromisso de que trata o caput é condição prévia para a efetivação das transferências de recursos financeiros da União. § 2º Compete ao órgão ou entidade da administração pública federal ao qual estiver consignada a dotação orçamentária relativa à programação prevista no caput do art. 105 a análise e aprovação formal do termo de compromisso. § 3º Na hipótese de as transferências obrigatórias serem efetivadas por intermédio de instituição ou agente financeiro público federal, atuando como mandatário da União, caberá a essas entidades a aprovação de que trata o § 2º deste artigo. Art. 107. A União, por intermédio de suas unidades gestoras, deverá exigir da parte beneficiada pela transferência de recursos a comprovação da regularidade de utilização das parcelas liberadas anteriormente com base no termo de compromisso. Art. 108. No caso de irregularidades e descumprimento pelos Municípios das condições estabelecidas no termo de compromisso, a União, por intermédio de suas unidades gestoras, suspenderá a liberação das parcelas previstas, bem como determinará à instituição financeira oficial a suspensão do saque dos valores da conta vinculada do Município, até a regularização da pendência. § 1º A utilização dos recursos em desconformidade com o termo de compromisso ensejará obrigação de o Município beneficiado devolvê-los devidam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2026-07-28T01:59:36.886Z</dcterms:created>
  <dcterms:modified xsi:type="dcterms:W3CDTF">2026-07-28T01:59:36.886Z</dcterms:modified>
</cp:coreProperties>
</file>

<file path=docProps/custom.xml><?xml version="1.0" encoding="utf-8"?>
<Properties xmlns="http://schemas.openxmlformats.org/officeDocument/2006/custom-properties" xmlns:vt="http://schemas.openxmlformats.org/officeDocument/2006/docPropsVTypes"/>
</file>